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8B223" w14:textId="77777777" w:rsidR="00CF1125" w:rsidRPr="00B72F39" w:rsidRDefault="00F71353">
      <w:pPr>
        <w:spacing w:after="240"/>
        <w:jc w:val="center"/>
        <w:rPr>
          <w:rFonts w:ascii="Times New Roman" w:hAnsi="Times New Roman" w:cs="Times New Roman"/>
        </w:rPr>
      </w:pPr>
      <w:r w:rsidRPr="00B72F39">
        <w:rPr>
          <w:rFonts w:ascii="Times New Roman" w:hAnsi="Times New Roman" w:cs="Times New Roman"/>
          <w:b/>
          <w:bCs/>
          <w:sz w:val="32"/>
          <w:szCs w:val="32"/>
        </w:rPr>
        <w:t>Response to Reviewers</w:t>
      </w:r>
    </w:p>
    <w:p w14:paraId="71B8B224" w14:textId="77777777" w:rsidR="00CF1125" w:rsidRPr="00B72F39" w:rsidRDefault="00F71353">
      <w:pPr>
        <w:spacing w:after="80"/>
        <w:jc w:val="center"/>
        <w:rPr>
          <w:rFonts w:ascii="Times New Roman" w:hAnsi="Times New Roman" w:cs="Times New Roman"/>
        </w:rPr>
      </w:pPr>
      <w:r w:rsidRPr="00B72F39">
        <w:rPr>
          <w:rFonts w:ascii="Times New Roman" w:hAnsi="Times New Roman" w:cs="Times New Roman"/>
          <w:i/>
          <w:iCs/>
        </w:rPr>
        <w:t>Manuscript: “Regaining Trust in AI: How Trust Erodes and Recovers After Temporary and Permanent Forecasting Errors”</w:t>
      </w:r>
    </w:p>
    <w:p w14:paraId="71B8B225" w14:textId="77777777" w:rsidR="00CF1125" w:rsidRPr="00B72F39" w:rsidRDefault="00F71353">
      <w:pPr>
        <w:spacing w:after="240"/>
        <w:jc w:val="center"/>
        <w:rPr>
          <w:rFonts w:ascii="Times New Roman" w:hAnsi="Times New Roman" w:cs="Times New Roman"/>
        </w:rPr>
      </w:pPr>
      <w:r w:rsidRPr="00B72F39">
        <w:rPr>
          <w:rFonts w:ascii="Times New Roman" w:hAnsi="Times New Roman" w:cs="Times New Roman"/>
        </w:rPr>
        <w:t>Submission ID: 0c145cda-47e0-4c03-a3fd-3adae36f9933</w:t>
      </w:r>
    </w:p>
    <w:p w14:paraId="457E183A" w14:textId="77777777" w:rsidR="00B72F39" w:rsidRPr="00B72F39" w:rsidRDefault="00B72F39">
      <w:pPr>
        <w:spacing w:after="120" w:line="300" w:lineRule="auto"/>
        <w:jc w:val="both"/>
        <w:rPr>
          <w:rFonts w:ascii="Times New Roman" w:hAnsi="Times New Roman" w:cs="Times New Roman"/>
        </w:rPr>
      </w:pPr>
    </w:p>
    <w:p w14:paraId="71B8B227" w14:textId="42800CF6"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are grateful to the Editor and to both reviewers for the careful, constructive, and thorough engagement with our manuscript. The reviewers identified several important issues, some of them substantive and consequential, and the revision process has, in our view, materially strengthened the paper. We have made extensive changes that we summarize briefly below before turning to point-by-point responses.</w:t>
      </w:r>
    </w:p>
    <w:p w14:paraId="71B8B228"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Summary of changes</w:t>
      </w:r>
    </w:p>
    <w:p w14:paraId="71B8B229"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The most consequential changes fall into four categories.</w:t>
      </w:r>
    </w:p>
    <w:p w14:paraId="71B8B22A" w14:textId="77777777" w:rsidR="00CF1125" w:rsidRPr="00B72F39" w:rsidRDefault="00F71353">
      <w:pPr>
        <w:pStyle w:val="a4"/>
        <w:numPr>
          <w:ilvl w:val="0"/>
          <w:numId w:val="2"/>
        </w:numPr>
        <w:spacing w:after="80" w:line="280" w:lineRule="auto"/>
        <w:rPr>
          <w:rFonts w:ascii="Times New Roman" w:hAnsi="Times New Roman" w:cs="Times New Roman"/>
        </w:rPr>
      </w:pPr>
      <w:r w:rsidRPr="00B72F39">
        <w:rPr>
          <w:rFonts w:ascii="Times New Roman" w:hAnsi="Times New Roman" w:cs="Times New Roman"/>
        </w:rPr>
        <w:t>Comprehensive re-analysis of the original (Study 1) data using complementary estimation strategies. We now report results from pooled OLS, mixed-effects regression with participant-level random intercepts, and participant-cluster bootstrap (B = 1,000) in parallel throughout Section 4. The intraclass correlation coefficient was 0.441, indicating substantial individual heterogeneity in baseline advice reliance, and the central H2 finding (LS-shock interaction in Model B3) is statistically significant under all three estimation methods, with bootstrap 95% CI = [−0.180, −0.043]. The H1 null result (advisor-type effects) is similarly preserved across methods.</w:t>
      </w:r>
    </w:p>
    <w:p w14:paraId="71B8B22B" w14:textId="77777777" w:rsidR="00CF1125" w:rsidRPr="00B72F39" w:rsidRDefault="00F71353">
      <w:pPr>
        <w:pStyle w:val="a4"/>
        <w:numPr>
          <w:ilvl w:val="0"/>
          <w:numId w:val="2"/>
        </w:numPr>
        <w:spacing w:after="80" w:line="280" w:lineRule="auto"/>
        <w:rPr>
          <w:rFonts w:ascii="Times New Roman" w:hAnsi="Times New Roman" w:cs="Times New Roman"/>
        </w:rPr>
      </w:pPr>
      <w:r w:rsidRPr="00B72F39">
        <w:rPr>
          <w:rFonts w:ascii="Times New Roman" w:hAnsi="Times New Roman" w:cs="Times New Roman"/>
        </w:rPr>
        <w:t>Correction of three reporting errors identified during the revision. (a) The recovery-period coefficients (γ) in Models B1–B3 were reported with positive signs in the original Section 4.3 text but are in fact negative; figures were drawn correctly from the regression output. (b) The recovery breakpoint t₂ reported as 24 in the original Section 3.4 was actually 26 (the F-statistic-maximizing value within the search window 22–27). (c) Several conditional sub-sample effects required corresponding sign corrections. We are grateful to Reviewer 1 for catching the figure/text discrepancy that revealed the first error. All such corrections are confined to text and tables; the underlying analysis pipeline was correct.</w:t>
      </w:r>
    </w:p>
    <w:p w14:paraId="71B8B22C" w14:textId="77777777" w:rsidR="00CF1125" w:rsidRPr="00B72F39" w:rsidRDefault="00F71353">
      <w:pPr>
        <w:pStyle w:val="a4"/>
        <w:numPr>
          <w:ilvl w:val="0"/>
          <w:numId w:val="2"/>
        </w:numPr>
        <w:spacing w:after="80" w:line="280" w:lineRule="auto"/>
        <w:rPr>
          <w:rFonts w:ascii="Times New Roman" w:hAnsi="Times New Roman" w:cs="Times New Roman"/>
        </w:rPr>
      </w:pPr>
      <w:r w:rsidRPr="00B72F39">
        <w:rPr>
          <w:rFonts w:ascii="Times New Roman" w:hAnsi="Times New Roman" w:cs="Times New Roman"/>
        </w:rPr>
        <w:t xml:space="preserve">Two new appendices: Appendix B reports a full sensitivity analysis of recovery breakpoint selection (t₂ </w:t>
      </w:r>
      <w:r w:rsidRPr="00B72F39">
        <w:rPr>
          <w:rFonts w:ascii="바탕" w:eastAsia="바탕" w:hAnsi="바탕" w:cs="바탕" w:hint="eastAsia"/>
        </w:rPr>
        <w:t>∈</w:t>
      </w:r>
      <w:r w:rsidRPr="00B72F39">
        <w:rPr>
          <w:rFonts w:ascii="Times New Roman" w:hAnsi="Times New Roman" w:cs="Times New Roman"/>
        </w:rPr>
        <w:t xml:space="preserve"> {22, 23, 24, 25, 26, 27}); Appendix C reports a full sensitivity analysis of the post-shock dummy coding (Row ≥ 17, 18, 19), addressing Reviewer 1’s concern about post-hoc breakpoint selection.</w:t>
      </w:r>
    </w:p>
    <w:p w14:paraId="71B8B22D" w14:textId="14DD9A72" w:rsidR="00CF1125" w:rsidRPr="00B72F39" w:rsidRDefault="00F71353">
      <w:pPr>
        <w:pStyle w:val="a4"/>
        <w:numPr>
          <w:ilvl w:val="0"/>
          <w:numId w:val="2"/>
        </w:numPr>
        <w:spacing w:after="80" w:line="280" w:lineRule="auto"/>
        <w:rPr>
          <w:rFonts w:ascii="Times New Roman" w:hAnsi="Times New Roman" w:cs="Times New Roman"/>
        </w:rPr>
      </w:pPr>
      <w:r w:rsidRPr="00B72F39">
        <w:rPr>
          <w:rFonts w:ascii="Times New Roman" w:hAnsi="Times New Roman" w:cs="Times New Roman"/>
          <w:highlight w:val="yellow"/>
        </w:rPr>
        <w:t>A new, preregistered Study 2 (N = 247; CloudResearch Connect; new Section 5.4). Study 2 fixed the erosion breakpoint (task round 19), the recovery breakpoint (task round 26), and a robustness breakpoint (task round 18) in advance; crossed advisor label with one AO profile and three level-shift persistence profiles (theta = .70, .83, .88) in an eight-cell between-subjects design under the same ARIMA(0,1,1) mechanism and a common noise realization; and added baseline, pre-error, and post-error stated-trust measures. Study 2 replicated the Study 1 erosion effect (A1 b = -.036, p &lt; .001) and the larger erosion under the LS profile (B3 LS x erosion b = -.053, mixed-effects p = .021), again found no advisor-label interaction (all p &gt; .85), found no significant Advisor x Shock x Phase interaction, and showed that stated trust recovered fully after corrected advice while behavioral reliance did not.</w:t>
      </w:r>
    </w:p>
    <w:p w14:paraId="71B8B22E"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Together with these changes, we have removed all “marginal significance” language as Reviewer 1 recommended, added behavioral evidence on egocentric anchoring (new Section 4.4) addressing Reviewer 2’s optimism-bias question, integrated additional theoretical citations, and clarified ambiguous statements about the time-series design. All changes referenced in this letter are highlighted in the revised manuscript.</w:t>
      </w:r>
    </w:p>
    <w:p w14:paraId="71B8B22F" w14:textId="77777777" w:rsidR="00CF1125" w:rsidRPr="00B72F39" w:rsidRDefault="00F71353">
      <w:pPr>
        <w:pBdr>
          <w:bottom w:val="single" w:sz="6" w:space="4" w:color="888888"/>
        </w:pBdr>
        <w:spacing w:before="360" w:after="180"/>
        <w:rPr>
          <w:rFonts w:ascii="Times New Roman" w:hAnsi="Times New Roman" w:cs="Times New Roman"/>
        </w:rPr>
      </w:pPr>
      <w:r w:rsidRPr="00B72F39">
        <w:rPr>
          <w:rFonts w:ascii="Times New Roman" w:hAnsi="Times New Roman" w:cs="Times New Roman"/>
          <w:b/>
          <w:bCs/>
          <w:sz w:val="28"/>
          <w:szCs w:val="28"/>
        </w:rPr>
        <w:lastRenderedPageBreak/>
        <w:t>Response to Reviewer 1</w:t>
      </w:r>
    </w:p>
    <w:p w14:paraId="71B8B230"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i/>
          <w:iCs/>
        </w:rPr>
        <w:t>We thank Reviewer 1 for the depth and care of the engagement. The review identified both a foundational methodological concern (the empirical breakpoint selection and its post-hoc framing) and a series of more specific points that have collectively reshaped the paper for the better. We respond to each in the order presented in the review.</w:t>
      </w:r>
    </w:p>
    <w:p w14:paraId="71B8B231"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Major concerns</w:t>
      </w:r>
    </w:p>
    <w:p w14:paraId="71B8B232"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Major concern 1: Round-19 coding and post-hoc reasoning.</w:t>
      </w:r>
    </w:p>
    <w:p w14:paraId="71B8B233"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“The authors’ decision to model the post-shock dummy variable as 1 ‘at round 19 rather than round 18’ appears to rest on a purely data-driven argument… [the rationale] suggests post-hoc reasoning. Therefore, at minimum, the authors should report a robustness check in which the post-shock dummy takes the value 1 from round 18 onward.”</w:t>
      </w:r>
    </w:p>
    <w:p w14:paraId="71B8B234"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The reviewer correctly notes that our original justification, that participants “often maintain or even increase their reliance on advice” at round 17, was stated without supporting reference and could be interpreted as post-hoc. We have addressed this directly in three ways.</w:t>
      </w:r>
    </w:p>
    <w:p w14:paraId="71B8B235"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First, we conducted the robustness analysis the reviewer requested. All six models were re-estimated with the post-shock dummy set to 1 from round 18 onward, and additionally from round 17 onward (the shock-occurrence round). Detailed results are in the new Appendix C. Under the Row ≥ 18 specification, all key conclusions are preserved: the LS-condition shock effect (δ₁ in Models A3 and B3) remains significant at p &lt; .01; the advisor-type interactions (Models A2, B2) remain non-significant; and the AO-condition shock effect remains negligible. Effect magnitudes are systematically attenuated by 15–28% under the Row ≥ 18 specification, consistent with the behavioral observation that participants had not yet meaningfully discounted advice at round 18.</w:t>
      </w:r>
    </w:p>
    <w:p w14:paraId="71B8B236"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Second, under the Row ≥ 17 specification, several B-series shock-effect coefficients flip sign or lose significance. This pattern supports the interpretation that the round-19 breakpoint reflects a genuine behavioral inflection point rather than an arbitrary modeling choice.</w:t>
      </w:r>
    </w:p>
    <w:p w14:paraId="71B8B237"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Third, we have rewritten the original justification in Section 3.4 to remove post-hoc framing. The round-19 specification is now described as empirically supported by the robustness comparison, not asserted on theoretical grounds alone.</w:t>
      </w:r>
    </w:p>
    <w:p w14:paraId="71B8B238"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Major concern 2: Generalization across different algorithmic advisors and integration of HCI literature.</w:t>
      </w:r>
    </w:p>
    <w:p w14:paraId="71B8B239"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“I also wonder how users’ trust trajectories in response to different types of errors differ across algorithms that are more versus less capable of dealing with specific kinds of temporary versus permanent disruptions… H1 may not generalize across different types of algorithmic advisors… ignoring this heterogeneity may be one reason why the authors do not find statistical support for H1.”</w:t>
      </w:r>
    </w:p>
    <w:p w14:paraId="71B8B23A"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agree that contemporary algorithmic advisors, particularly generative AI systems with explanatory and interactive capabilities, challenge the homogeneous “algorithm” framing in the algorithm-aversion literature. We have revised Section 2.2 to integrate this perspective, citing </w:t>
      </w:r>
      <w:proofErr w:type="spellStart"/>
      <w:r w:rsidRPr="00B72F39">
        <w:rPr>
          <w:rFonts w:ascii="Times New Roman" w:hAnsi="Times New Roman" w:cs="Times New Roman"/>
        </w:rPr>
        <w:t>Rebholz</w:t>
      </w:r>
      <w:proofErr w:type="spellEnd"/>
      <w:r w:rsidRPr="00B72F39">
        <w:rPr>
          <w:rFonts w:ascii="Times New Roman" w:hAnsi="Times New Roman" w:cs="Times New Roman"/>
        </w:rPr>
        <w:t xml:space="preserve">, Koop, and </w:t>
      </w:r>
      <w:proofErr w:type="spellStart"/>
      <w:r w:rsidRPr="00B72F39">
        <w:rPr>
          <w:rFonts w:ascii="Times New Roman" w:hAnsi="Times New Roman" w:cs="Times New Roman"/>
        </w:rPr>
        <w:t>Hütter</w:t>
      </w:r>
      <w:proofErr w:type="spellEnd"/>
      <w:r w:rsidRPr="00B72F39">
        <w:rPr>
          <w:rFonts w:ascii="Times New Roman" w:hAnsi="Times New Roman" w:cs="Times New Roman"/>
        </w:rPr>
        <w:t xml:space="preserve"> (2024) </w:t>
      </w:r>
      <w:r w:rsidRPr="00B72F39">
        <w:rPr>
          <w:rFonts w:ascii="Times New Roman" w:hAnsi="Times New Roman" w:cs="Times New Roman"/>
        </w:rPr>
        <w:lastRenderedPageBreak/>
        <w:t xml:space="preserve">on the influence of explanatory and interactive features on behavioral trust in generative AI, and </w:t>
      </w:r>
      <w:proofErr w:type="spellStart"/>
      <w:r w:rsidRPr="00B72F39">
        <w:rPr>
          <w:rFonts w:ascii="Times New Roman" w:hAnsi="Times New Roman" w:cs="Times New Roman"/>
        </w:rPr>
        <w:t>Rebholz</w:t>
      </w:r>
      <w:proofErr w:type="spellEnd"/>
      <w:r w:rsidRPr="00B72F39">
        <w:rPr>
          <w:rFonts w:ascii="Times New Roman" w:hAnsi="Times New Roman" w:cs="Times New Roman"/>
        </w:rPr>
        <w:t xml:space="preserve"> (2026) on the historical disconnect between psychological algorithm-aversion research and the human-computer interaction literature. We acknowledge that our “AI Forecasting System” label invokes a generic algorithmic advisor that may behave differently from a transparent, explainable, or interactive system, and we discuss this as a substantive boundary condition rather than a residual limitation.</w:t>
      </w:r>
    </w:p>
    <w:p w14:paraId="71B8B23B"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Regarding the H1 null result specifically, we have re-analyzed our data with mixed-effects regression and bootstrap confidence intervals, both of which preserve the null finding under more powerful inference (mixed-effects p &gt; .23 throughout; bootstrap 95% CIs clearly include zero). This makes a power-based explanation for the H1 null less plausible. However, we explicitly acknowledge in the revised Discussion that our specific operationalization of the “AI advisor” may have presented a relatively undifferentiated machine identity, and that a richer manipulation, e.g., contrasting an explanatory generative AI advisor with a numerical AI forecasting system, could yield different results. This is now flagged as a productive direction for future research.</w:t>
      </w:r>
    </w:p>
    <w:p w14:paraId="71B8B23C"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Major concern 3: H2 as an interaction hypothesis; consistency of inference across A- and B-series.</w:t>
      </w:r>
    </w:p>
    <w:p w14:paraId="71B8B23D"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“I was surprised that H2 was not formulated as an interaction hypothesis… the authors’ reasoning about the machine perfection schema seems to imply that users should expect human advisors, rather than algorithmic advisors, to adapt better to persistent shocks… [Also,] the authors should be clearer and more explicit about whether the reported coefficient estimates describe main effects… or effects related to one of the conditions coded as the reference category.”</w:t>
      </w:r>
    </w:p>
    <w:p w14:paraId="71B8B23E"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These are two related but distinct points; we address each in turn.</w:t>
      </w:r>
    </w:p>
    <w:p w14:paraId="71B8B23F"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On the formulation of H2: we have reframed H2 explicitly as a shock-type-by-advisor-type interaction hypothesis in the revised Section 2.3, in line with the reviewer’s logic. Study 2 then tested this interaction directly with a preregistered Advisor x Shock x Phase mixed-effects model in the theta-matched AO and LS-D4 cells (new Table 6). Neither three-way term was significant (Human x LS x erosion b = -.001, p = .99; Human x LS x recovery b = +.077, p = .14), whereas the LS-by-phase terms were negative under both labels (LS x recovery b = -.078, p = .036; LS x erosion b = -.053, p = .10). The shock contrast therefore replicated, but the prediction that it would be stronger under the AI label was not supported; Section 5.4.7 states this explicitly. We acknowledge that the original framing, a main effect of shock type, was less precise than the underlying theoretical reasoning warranted.</w:t>
      </w:r>
      <w:proofErr w:type="spellStart"/>
      <w:proofErr w:type="spellEnd"/>
    </w:p>
    <w:p w14:paraId="71B8B240"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On the interpretation of Model A2: we have rewritten the relevant passage on p. 14 to remove the implication that A2 results speak to interaction effects. The text now correctly describes A2 as testing the main effect of shock type while controlling for advisor type, with interactions reserved for explicit interaction models (A3, B3). Where coefficients pertain to one condition (e.g., the AI baseline in B2), this is now stated explicitly. Throughout Section 4.1 we have used “overall”, “differential”, and “reference category” language with care to distinguish main effects from condition-specific effects.</w:t>
      </w:r>
    </w:p>
    <w:p w14:paraId="71B8B241"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Major concern 4: Frequentist inference, absence of evidence, and marginal significance.</w:t>
      </w:r>
    </w:p>
    <w:p w14:paraId="71B8B242"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“Within a frequentist framework, absence of evidence is not evidence of absence… related statements… must be toned down to properly reflect that these findings are statistically non-significant, not positive evidence of no difference… [Also,] the concept of marginal significance is misleading and should therefore be avoided in frequentist statistics.”</w:t>
      </w:r>
    </w:p>
    <w:p w14:paraId="71B8B243"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agree on both points and have made the following revisions throughout the manuscript.</w:t>
      </w:r>
    </w:p>
    <w:p w14:paraId="71B8B244"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lastRenderedPageBreak/>
        <w:t>First, all references to “absence of advisor-type differences,” “the perfection schema is overwhelmed,” and similar phrasings have been rewritten as descriptions of statistically non-significant differences. The revised Section 5.1 now explicitly distinguishes between observed null results and positive evidence of no effect, and frames our claims accordingly. We also note that mixed-effects re-estimation (Reviewer 1, Minor 3) and bootstrap confidence intervals (Reviewer 2, main concern) preserve the H1 null result under more powerful inference, which we discuss as suggestive evidence consistent with no effect, while stopping short of claiming positive support for the null.</w:t>
      </w:r>
    </w:p>
    <w:p w14:paraId="71B8B245"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Second, the term “marginal significance” and the dagger marker for p &lt; .10 have been removed from the manuscript text. The B3 γ₁ coefficient that was previously described as marginally significant is now reported with its actual p-value (p = .091 under OLS, p = .022 under mixed-effects), accompanied by the bootstrap 95% CI [−0.140, +0.018], and described as method-sensitive evidence rather than as definitive support for differential recovery.</w:t>
      </w:r>
    </w:p>
    <w:p w14:paraId="71B8B246"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Minor concerns</w:t>
      </w:r>
    </w:p>
    <w:p w14:paraId="71B8B247"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Minor concern 1: Egocentric discounting as aggregation artifact.</w:t>
      </w:r>
    </w:p>
    <w:p w14:paraId="71B8B248"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“Egocentric discounting appears to be more of an aggregation artifact than a particularly prevalent behavioral pattern (Soll &amp; </w:t>
      </w:r>
      <w:proofErr w:type="spellStart"/>
      <w:r w:rsidRPr="00B72F39">
        <w:rPr>
          <w:rFonts w:ascii="Times New Roman" w:hAnsi="Times New Roman" w:cs="Times New Roman"/>
          <w:i/>
          <w:iCs/>
          <w:color w:val="555555"/>
        </w:rPr>
        <w:t>Larrick</w:t>
      </w:r>
      <w:proofErr w:type="spellEnd"/>
      <w:r w:rsidRPr="00B72F39">
        <w:rPr>
          <w:rFonts w:ascii="Times New Roman" w:hAnsi="Times New Roman" w:cs="Times New Roman"/>
          <w:i/>
          <w:iCs/>
          <w:color w:val="555555"/>
        </w:rPr>
        <w:t>, 2009; see also Himmelstein, 2022). Accordingly, the authors should contextualize their claims in Section 2.1 more carefully.”</w:t>
      </w:r>
    </w:p>
    <w:p w14:paraId="71B8B249"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have revised the opening paragraph of Section 2.1 to acknowledge that the aggregate egocentric discounting pattern reflects a mixture of individuals who fully accept advice, fully ignore it, or compromise to varying degrees, rather than a uniform behavioral tendency. The revision cites Soll and </w:t>
      </w:r>
      <w:proofErr w:type="spellStart"/>
      <w:r w:rsidRPr="00B72F39">
        <w:rPr>
          <w:rFonts w:ascii="Times New Roman" w:hAnsi="Times New Roman" w:cs="Times New Roman"/>
        </w:rPr>
        <w:t>Larrick</w:t>
      </w:r>
      <w:proofErr w:type="spellEnd"/>
      <w:r w:rsidRPr="00B72F39">
        <w:rPr>
          <w:rFonts w:ascii="Times New Roman" w:hAnsi="Times New Roman" w:cs="Times New Roman"/>
        </w:rPr>
        <w:t xml:space="preserve"> (2009) and Himmelstein (2022). Our mixed-effects estimation (now reported in Table 1) explicitly models this individual heterogeneity through participant-level random intercepts; the empirical ICC of 0.441 directly substantiates the reviewer’s theoretical point.</w:t>
      </w:r>
    </w:p>
    <w:p w14:paraId="71B8B24A"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concern 2: Negativity bias and loss aversion logic in Introduction.</w:t>
      </w:r>
    </w:p>
    <w:p w14:paraId="71B8B24B"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“Solely based on the Introduction, I was wondering in what sense the documented ‘robust asymmetry in the trust process’ is consistent with negativity bias and loss aversion in judgment… it would be great if the authors could provide more detail on this reasoning earlier in the paper.”</w:t>
      </w:r>
    </w:p>
    <w:p w14:paraId="71B8B24C"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moved a condensed version of the negativity-bias / loss-aversion reasoning currently in Section 5.1 (Theoretical Implications) up to the Introduction, where we now briefly explain why these psychological asymmetries predict that trust should erode more readily than it recovers and why this asymmetry should be amplified for persistent rather than isolated errors. This framing now makes the empirical asymmetry intuitive on first encounter rather than requiring readers to wait for the Discussion.</w:t>
      </w:r>
    </w:p>
    <w:p w14:paraId="71B8B24D"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concern 3: Random intercepts in regression specification.</w:t>
      </w:r>
    </w:p>
    <w:p w14:paraId="71B8B24E"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“This fact would also support using a regression modeling approach that allows for individual differences in ‘baseline trust levels’ β₀, that is, at least including random intercepts in Equations 8–13 (cf. </w:t>
      </w:r>
      <w:proofErr w:type="spellStart"/>
      <w:r w:rsidRPr="00B72F39">
        <w:rPr>
          <w:rFonts w:ascii="Times New Roman" w:hAnsi="Times New Roman" w:cs="Times New Roman"/>
          <w:i/>
          <w:iCs/>
          <w:color w:val="555555"/>
        </w:rPr>
        <w:t>Rebholz</w:t>
      </w:r>
      <w:proofErr w:type="spellEnd"/>
      <w:r w:rsidRPr="00B72F39">
        <w:rPr>
          <w:rFonts w:ascii="Times New Roman" w:hAnsi="Times New Roman" w:cs="Times New Roman"/>
          <w:i/>
          <w:iCs/>
          <w:color w:val="555555"/>
        </w:rPr>
        <w:t>, Biella, et al., 2024).”</w:t>
      </w:r>
    </w:p>
    <w:p w14:paraId="71B8B24F"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have re-estimated all six models as linear mixed-effects regressions with participant-level random </w:t>
      </w:r>
      <w:r w:rsidRPr="00B72F39">
        <w:rPr>
          <w:rFonts w:ascii="Times New Roman" w:hAnsi="Times New Roman" w:cs="Times New Roman"/>
        </w:rPr>
        <w:lastRenderedPageBreak/>
        <w:t>intercepts and report these results in parallel with the OLS estimates throughout Section 4 and Tables 1 and 2. The intraclass correlation coefficient is 0.441, meaning 44.1% of WOA variance is between-participant. Coefficient point estimates were essentially unchanged across specifications (|Δ| &lt; 0.01 throughout), but standard errors decreased by 26–32%, reflecting the gain in efficiency from explicitly modeling within-participant correlation.</w:t>
      </w:r>
    </w:p>
    <w:p w14:paraId="71B8B250"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Three coefficients shifted significance status under mixed-effects estimation: the LS-condition recovery interaction (B3 γ₁) moved from p = .091 to p = .022, the overall recovery effect (B1 γ₀) moved from p = .221 to p = .097, and the AI-condition recovery effect (B2 c₂) moved from p = .171 to p = .064. Critically, all H1 advisor-type interactions remained non-significant under mixed-effects estimation (all p &gt; .23). This strengthens the inference that the H1 null result reflects a genuine absence of advisor-type moderation rather than insufficient statistical power, addressing Major Concern 4 in part. We are grateful for the citation to </w:t>
      </w:r>
      <w:proofErr w:type="spellStart"/>
      <w:r w:rsidRPr="00B72F39">
        <w:rPr>
          <w:rFonts w:ascii="Times New Roman" w:hAnsi="Times New Roman" w:cs="Times New Roman"/>
        </w:rPr>
        <w:t>Rebholz</w:t>
      </w:r>
      <w:proofErr w:type="spellEnd"/>
      <w:r w:rsidRPr="00B72F39">
        <w:rPr>
          <w:rFonts w:ascii="Times New Roman" w:hAnsi="Times New Roman" w:cs="Times New Roman"/>
        </w:rPr>
        <w:t xml:space="preserve">, Biella, and </w:t>
      </w:r>
      <w:proofErr w:type="spellStart"/>
      <w:r w:rsidRPr="00B72F39">
        <w:rPr>
          <w:rFonts w:ascii="Times New Roman" w:hAnsi="Times New Roman" w:cs="Times New Roman"/>
        </w:rPr>
        <w:t>Hütter</w:t>
      </w:r>
      <w:proofErr w:type="spellEnd"/>
      <w:r w:rsidRPr="00B72F39">
        <w:rPr>
          <w:rFonts w:ascii="Times New Roman" w:hAnsi="Times New Roman" w:cs="Times New Roman"/>
        </w:rPr>
        <w:t xml:space="preserve"> (2024), which provides direct methodological precedent.</w:t>
      </w:r>
    </w:p>
    <w:p w14:paraId="71B8B251"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 xml:space="preserve">Minor concern 4: </w:t>
      </w:r>
      <w:proofErr w:type="spellStart"/>
      <w:r w:rsidRPr="00B72F39">
        <w:rPr>
          <w:rFonts w:ascii="Times New Roman" w:hAnsi="Times New Roman" w:cs="Times New Roman"/>
          <w:b/>
          <w:bCs/>
        </w:rPr>
        <w:t>Logg</w:t>
      </w:r>
      <w:proofErr w:type="spellEnd"/>
      <w:r w:rsidRPr="00B72F39">
        <w:rPr>
          <w:rFonts w:ascii="Times New Roman" w:hAnsi="Times New Roman" w:cs="Times New Roman"/>
          <w:b/>
          <w:bCs/>
        </w:rPr>
        <w:t xml:space="preserve">, </w:t>
      </w:r>
      <w:proofErr w:type="spellStart"/>
      <w:r w:rsidRPr="00B72F39">
        <w:rPr>
          <w:rFonts w:ascii="Times New Roman" w:hAnsi="Times New Roman" w:cs="Times New Roman"/>
          <w:b/>
          <w:bCs/>
        </w:rPr>
        <w:t>Minson</w:t>
      </w:r>
      <w:proofErr w:type="spellEnd"/>
      <w:r w:rsidRPr="00B72F39">
        <w:rPr>
          <w:rFonts w:ascii="Times New Roman" w:hAnsi="Times New Roman" w:cs="Times New Roman"/>
          <w:b/>
          <w:bCs/>
        </w:rPr>
        <w:t>, and Moore (2019) citation accuracy.</w:t>
      </w:r>
    </w:p>
    <w:p w14:paraId="71B8B252"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w:t>
      </w:r>
      <w:proofErr w:type="spellStart"/>
      <w:r w:rsidRPr="00B72F39">
        <w:rPr>
          <w:rFonts w:ascii="Times New Roman" w:hAnsi="Times New Roman" w:cs="Times New Roman"/>
          <w:i/>
          <w:iCs/>
          <w:color w:val="555555"/>
        </w:rPr>
        <w:t>Logg</w:t>
      </w:r>
      <w:proofErr w:type="spellEnd"/>
      <w:r w:rsidRPr="00B72F39">
        <w:rPr>
          <w:rFonts w:ascii="Times New Roman" w:hAnsi="Times New Roman" w:cs="Times New Roman"/>
          <w:i/>
          <w:iCs/>
          <w:color w:val="555555"/>
        </w:rPr>
        <w:t xml:space="preserve">, </w:t>
      </w:r>
      <w:proofErr w:type="spellStart"/>
      <w:r w:rsidRPr="00B72F39">
        <w:rPr>
          <w:rFonts w:ascii="Times New Roman" w:hAnsi="Times New Roman" w:cs="Times New Roman"/>
          <w:i/>
          <w:iCs/>
          <w:color w:val="555555"/>
        </w:rPr>
        <w:t>Minson</w:t>
      </w:r>
      <w:proofErr w:type="spellEnd"/>
      <w:r w:rsidRPr="00B72F39">
        <w:rPr>
          <w:rFonts w:ascii="Times New Roman" w:hAnsi="Times New Roman" w:cs="Times New Roman"/>
          <w:i/>
          <w:iCs/>
          <w:color w:val="555555"/>
        </w:rPr>
        <w:t>, and Moore (2019) demonstrate that people sometimes prefer algorithmic to human judgment, particularly in domains perceived as rule-governed or data-intensive’ does not strike me as especially well supported by their study, which also showed algorithm aversion in relatively subjective domains such as predictions of song popularity.”</w:t>
      </w:r>
    </w:p>
    <w:p w14:paraId="71B8B253"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agree that our original characterization was over-narrow. </w:t>
      </w:r>
      <w:proofErr w:type="spellStart"/>
      <w:r w:rsidRPr="00B72F39">
        <w:rPr>
          <w:rFonts w:ascii="Times New Roman" w:hAnsi="Times New Roman" w:cs="Times New Roman"/>
        </w:rPr>
        <w:t>Logg</w:t>
      </w:r>
      <w:proofErr w:type="spellEnd"/>
      <w:r w:rsidRPr="00B72F39">
        <w:rPr>
          <w:rFonts w:ascii="Times New Roman" w:hAnsi="Times New Roman" w:cs="Times New Roman"/>
        </w:rPr>
        <w:t xml:space="preserve"> et al. (2019) demonstrate algorithm appreciation across a broader range of judgment tasks than “rule-governed or data-intensive domains” and at the same time observe nuance, including domain-dependent variation. We have rewritten the relevant sentence in Section 2.2 to: “</w:t>
      </w:r>
      <w:proofErr w:type="spellStart"/>
      <w:r w:rsidRPr="00B72F39">
        <w:rPr>
          <w:rFonts w:ascii="Times New Roman" w:hAnsi="Times New Roman" w:cs="Times New Roman"/>
        </w:rPr>
        <w:t>Logg</w:t>
      </w:r>
      <w:proofErr w:type="spellEnd"/>
      <w:r w:rsidRPr="00B72F39">
        <w:rPr>
          <w:rFonts w:ascii="Times New Roman" w:hAnsi="Times New Roman" w:cs="Times New Roman"/>
        </w:rPr>
        <w:t xml:space="preserve">, </w:t>
      </w:r>
      <w:proofErr w:type="spellStart"/>
      <w:r w:rsidRPr="00B72F39">
        <w:rPr>
          <w:rFonts w:ascii="Times New Roman" w:hAnsi="Times New Roman" w:cs="Times New Roman"/>
        </w:rPr>
        <w:t>Minson</w:t>
      </w:r>
      <w:proofErr w:type="spellEnd"/>
      <w:r w:rsidRPr="00B72F39">
        <w:rPr>
          <w:rFonts w:ascii="Times New Roman" w:hAnsi="Times New Roman" w:cs="Times New Roman"/>
        </w:rPr>
        <w:t>, and Moore (2019) demonstrate that people often prefer algorithmic to human judgment across a range of forecasting and estimation tasks, although the strength and direction of this preference varies with task characteristics.” This characterization is more faithful to their findings.</w:t>
      </w:r>
    </w:p>
    <w:p w14:paraId="71B8B254"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concern 5: Different magnitudes of AO and LS shocks.</w:t>
      </w:r>
    </w:p>
    <w:p w14:paraId="71B8B255"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“Why are the magnitudes of the AO and LS shocks different? The authors should provide an explanation so that readers can better understand the implications of these design choices.”</w:t>
      </w:r>
    </w:p>
    <w:p w14:paraId="71B8B256"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added a paragraph to Section 3.2 explaining this design choice. Briefly: the AO shock magnitude (ω = 20) and LS shock magnitude (ω = 10) were chosen to produce comparable immediate visual prominence at the moment of the shock, both shocks introduce an approximately 2× deviation from the pre-shock baseline at round 17. Because AO shocks affect only one round while LS shocks affect all subsequent rounds, equal-magnitude shocks would have produced asymmetric overall stimulus salience, with LS dominating. Our calibration approximately equalizes the perceptual magnitude of the discrete event, which is the dimension most likely to drive immediate trust adjustment. The differential persistence, the very feature that distinguishes the conditions, is preserved by design. We acknowledge in Section 5.3 that alternative calibrations (e.g., equal ω with “integrated” effect controls) could yield different relative effect sizes; a within-design manipulation of shock magnitude is a productive future direction.</w:t>
      </w:r>
    </w:p>
    <w:p w14:paraId="71B8B257"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concern 6: Figure 5 vs. text discrepancy.</w:t>
      </w:r>
    </w:p>
    <w:p w14:paraId="71B8B258"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lastRenderedPageBreak/>
        <w:t>“The reporting in the text on p. 19 does not fit the estimated trend lines plotted in Figure 5… the (partial) recovery visually appears stronger in the human condition than in the AI condition, despite the reporting in the text suggesting the opposite (AI: 0.0342 vs. Human: 0.0091).”</w:t>
      </w:r>
    </w:p>
    <w:p w14:paraId="71B8B259"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Thank you for catching this. Upon careful re-examination, we identified a systematic reporting error in our original Section 4.3 presentation of the recovery-inclusive (B-series) models: recovery-period coefficients (γ) were reported in the text as positive values, but the actual regression output yields negative coefficients. The figures (Figures 4–6) were correctly drawn from the regression output and accurately depict the negative coefficients; the error was confined to text-based reporting.</w:t>
      </w:r>
    </w:p>
    <w:p w14:paraId="71B8B25A" w14:textId="77777777" w:rsidR="00CF1125" w:rsidRPr="00B72F39" w:rsidRDefault="00F71353">
      <w:pPr>
        <w:spacing w:after="120" w:line="300" w:lineRule="auto"/>
        <w:jc w:val="both"/>
        <w:rPr>
          <w:rFonts w:ascii="Times New Roman" w:hAnsi="Times New Roman" w:cs="Times New Roman"/>
        </w:rPr>
      </w:pPr>
      <w:proofErr w:type="gramStart"/>
      <w:r w:rsidRPr="00B72F39">
        <w:rPr>
          <w:rFonts w:ascii="Times New Roman" w:hAnsi="Times New Roman" w:cs="Times New Roman"/>
        </w:rPr>
        <w:t>Specifically</w:t>
      </w:r>
      <w:proofErr w:type="gramEnd"/>
      <w:r w:rsidRPr="00B72F39">
        <w:rPr>
          <w:rFonts w:ascii="Times New Roman" w:hAnsi="Times New Roman" w:cs="Times New Roman"/>
        </w:rPr>
        <w:t xml:space="preserve"> for Model B2, the actual recovery-period coefficients are c₂ = −0.034 (AI) and c₂ = −0.009 (Human), as the reviewer correctly inferred from Figure 5. The Human condition’s coefficient is closer to zero, indicating numerically more complete return toward baseline, consistent with the visual pattern in Figure 5. The text in Section 4.3 has been corrected throughout, and we have also corrected analogous sign errors in B1 and B3 reporting (the γ₀ in B1 was originally reported as +0.022 but is actually −0.022; the “partial recovery of 0.0515” in the LS condition reflects the same sign reversal). The Table 1 entries were already computed at the correct sign; the error did not propagate to the table. Critically, all statistical conclusions are unchanged, all coefficients reported as non-significant remain non-significant. We are grateful to the reviewer for catching this error.</w:t>
      </w:r>
    </w:p>
    <w:p w14:paraId="71B8B25B"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concern 7: References for individual-difference moderators of algorithm aversion.</w:t>
      </w:r>
    </w:p>
    <w:p w14:paraId="71B8B25C"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“Please provide references for ‘Prior research has documented that algorithm aversion varies as a function of… need for cognitive closure, risk preferences, and attitudes toward automation’.”</w:t>
      </w:r>
    </w:p>
    <w:p w14:paraId="71B8B25D"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have added supporting citations in Section 5.3: Castelo, Bos, and Lehmann (2019) for domain expertise effects, </w:t>
      </w:r>
      <w:proofErr w:type="spellStart"/>
      <w:r w:rsidRPr="00B72F39">
        <w:rPr>
          <w:rFonts w:ascii="Times New Roman" w:hAnsi="Times New Roman" w:cs="Times New Roman"/>
        </w:rPr>
        <w:t>Logg</w:t>
      </w:r>
      <w:proofErr w:type="spellEnd"/>
      <w:r w:rsidRPr="00B72F39">
        <w:rPr>
          <w:rFonts w:ascii="Times New Roman" w:hAnsi="Times New Roman" w:cs="Times New Roman"/>
        </w:rPr>
        <w:t xml:space="preserve"> et al. (2019) for individual-difference variability in algorithm appreciation, and </w:t>
      </w:r>
      <w:proofErr w:type="spellStart"/>
      <w:r w:rsidRPr="00B72F39">
        <w:rPr>
          <w:rFonts w:ascii="Times New Roman" w:hAnsi="Times New Roman" w:cs="Times New Roman"/>
        </w:rPr>
        <w:t>Glikson</w:t>
      </w:r>
      <w:proofErr w:type="spellEnd"/>
      <w:r w:rsidRPr="00B72F39">
        <w:rPr>
          <w:rFonts w:ascii="Times New Roman" w:hAnsi="Times New Roman" w:cs="Times New Roman"/>
        </w:rPr>
        <w:t xml:space="preserve"> and Woolley (2020) and Burton et al. (2020) for systematic reviews documenting moderators including need for cognitive closure, risk preferences, and trust dispositions. We have also softened the original sentence to acknowledge that individual-difference research in this area is heterogeneous and partly speculative.</w:t>
      </w:r>
    </w:p>
    <w:p w14:paraId="71B8B25E"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Editorial notes</w:t>
      </w:r>
    </w:p>
    <w:p w14:paraId="71B8B25F"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Editorial 1: Figure A1 and the time series.</w:t>
      </w:r>
    </w:p>
    <w:p w14:paraId="71B8B260"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updated the Figure A1 caption to mention that the lower portion of the screen displayed the historical time series for orientation, in addition to the demographic input fields described in the original caption. The figure itself is retained because it accurately represents the experimental interface as participants encountered it.</w:t>
      </w:r>
    </w:p>
    <w:p w14:paraId="71B8B261"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Editorial 2: Appendix B was referenced but not included.</w:t>
      </w:r>
    </w:p>
    <w:p w14:paraId="71B8B262"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apologize for the oversight. Appendix B (recovery breakpoint sensitivity) is now included, presenting B-series coefficient estimates across t₂ </w:t>
      </w:r>
      <w:r w:rsidRPr="00B72F39">
        <w:rPr>
          <w:rFonts w:ascii="바탕" w:eastAsia="바탕" w:hAnsi="바탕" w:cs="바탕" w:hint="eastAsia"/>
        </w:rPr>
        <w:t>∈</w:t>
      </w:r>
      <w:r w:rsidRPr="00B72F39">
        <w:rPr>
          <w:rFonts w:ascii="Times New Roman" w:hAnsi="Times New Roman" w:cs="Times New Roman"/>
        </w:rPr>
        <w:t xml:space="preserve"> {22, 23, 24, 25, 26, 27}. We have also added a new Appendix C reporting the post-shock dummy robustness analysis requested in Major Concern 1.</w:t>
      </w:r>
    </w:p>
    <w:p w14:paraId="71B8B263"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Editorial 3: Standard errors in Table 1.</w:t>
      </w:r>
    </w:p>
    <w:p w14:paraId="71B8B264"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Standard errors are now reported alongside all coefficient estimates in Table 1, separately for OLS and </w:t>
      </w:r>
      <w:r w:rsidRPr="00B72F39">
        <w:rPr>
          <w:rFonts w:ascii="Times New Roman" w:hAnsi="Times New Roman" w:cs="Times New Roman"/>
        </w:rPr>
        <w:lastRenderedPageBreak/>
        <w:t>mixed-effects estimation. Bootstrap 95% confidence intervals are also included in the same table.</w:t>
      </w:r>
    </w:p>
    <w:p w14:paraId="71B8B265"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Editorial 4: Order of regression results vs. descriptive trend lines in Section 4.</w:t>
      </w:r>
    </w:p>
    <w:p w14:paraId="71B8B266"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considered the reviewer’s suggestion to lead with the descriptive trend lines and follow with regression results. After reflection, we have retained the current order (regression results in Section 4.1, trend-line figures in Sections 4.2–4.3), for two reasons. First, the present revision substantially enriches Section 4.1 with new model-comparison and robustness analyses (mixed-effects estimates, AIC/BIC, bootstrap CIs in Tables 1 and 2), which we believe fits naturally as the front-loaded foundation for the visualizations that follow. Second, we read this as a presentation preference, as the reviewer notes. We would willingly reorder if the editor prefers.</w:t>
      </w:r>
    </w:p>
    <w:p w14:paraId="71B8B267" w14:textId="77777777" w:rsidR="00CF1125" w:rsidRPr="00B72F39" w:rsidRDefault="00F71353">
      <w:pPr>
        <w:pBdr>
          <w:bottom w:val="single" w:sz="6" w:space="4" w:color="888888"/>
        </w:pBdr>
        <w:spacing w:before="360" w:after="180"/>
        <w:rPr>
          <w:rFonts w:ascii="Times New Roman" w:hAnsi="Times New Roman" w:cs="Times New Roman"/>
        </w:rPr>
      </w:pPr>
      <w:r w:rsidRPr="00B72F39">
        <w:rPr>
          <w:rFonts w:ascii="Times New Roman" w:hAnsi="Times New Roman" w:cs="Times New Roman"/>
          <w:b/>
          <w:bCs/>
          <w:sz w:val="28"/>
          <w:szCs w:val="28"/>
        </w:rPr>
        <w:t>Response to Reviewer 2</w:t>
      </w:r>
    </w:p>
    <w:p w14:paraId="71B8B268"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i/>
          <w:iCs/>
          <w:highlight w:val="yellow"/>
        </w:rPr>
        <w:t>We thank Reviewer 2 for the thoughtful and substantive engagement, particularly for the foundational concern about generalizability. This concern was the direct motivation for the new Study 2 (Section 5.4), which we describe below together with what it does and does not resolve.</w:t>
      </w:r>
    </w:p>
    <w:p w14:paraId="71B8B269"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Main point: Generalizability and the single time-series design</w:t>
      </w:r>
    </w:p>
    <w:p w14:paraId="71B8B26A"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“How generalizable are these results? Only a single time series pattern using an </w:t>
      </w:r>
      <w:proofErr w:type="gramStart"/>
      <w:r w:rsidRPr="00B72F39">
        <w:rPr>
          <w:rFonts w:ascii="Times New Roman" w:hAnsi="Times New Roman" w:cs="Times New Roman"/>
          <w:i/>
          <w:iCs/>
          <w:color w:val="555555"/>
        </w:rPr>
        <w:t>ARIMA(</w:t>
      </w:r>
      <w:proofErr w:type="gramEnd"/>
      <w:r w:rsidRPr="00B72F39">
        <w:rPr>
          <w:rFonts w:ascii="Times New Roman" w:hAnsi="Times New Roman" w:cs="Times New Roman"/>
          <w:i/>
          <w:iCs/>
          <w:color w:val="555555"/>
        </w:rPr>
        <w:t>0, 1, 1) model was used… If the same noise pattern was used for all participants, then the results were all derived from a single time series. How much advice was used by participants on successive forecasts could then be determined solely by the noise pattern… A second experiment (with different noise patterns for different participants) using a different ARIMA model would increase the value of the paper’s conclusions.”</w:t>
      </w:r>
    </w:p>
    <w:p w14:paraId="71B8B26B"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This is a foundational concern, and we address it at three levels.</w:t>
      </w:r>
    </w:p>
    <w:p w14:paraId="71B8B26C"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First, we clarify the original design. All participants in the originally reported experiment, which we now refer to as Study 1, observed an identical realization of the underlying </w:t>
      </w:r>
      <w:proofErr w:type="gramStart"/>
      <w:r w:rsidRPr="00B72F39">
        <w:rPr>
          <w:rFonts w:ascii="Times New Roman" w:hAnsi="Times New Roman" w:cs="Times New Roman"/>
        </w:rPr>
        <w:t>ARIMA(</w:t>
      </w:r>
      <w:proofErr w:type="gramEnd"/>
      <w:r w:rsidRPr="00B72F39">
        <w:rPr>
          <w:rFonts w:ascii="Times New Roman" w:hAnsi="Times New Roman" w:cs="Times New Roman"/>
        </w:rPr>
        <w:t>0,1,1) series. The original Section 3.2 description (“All participants observed the same underlying time series to ensure consistency across experimental conditions”) was ambiguous, and we have rewritten it to make this design choice explicit and to acknowledge that it limits generalizability to alternative noise realizations and to alternative ARIMA processes.</w:t>
      </w:r>
    </w:p>
    <w:p w14:paraId="71B8B26D"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Second, to extract what robustness we can from the existing data, we have conducted a participant-cluster bootstrap (B = 1,000) in which participants are resampled with replacement, preserving each participant’s full 30-round panel. This addresses sampling variability across participants, which is the dimension where the existing data does have variability. Bootstrap 95% confidence intervals are now reported in Table 1. The H2-relevant coefficients are stable: the LS-condition shock interaction (B3 δ₁) yields 95% CI [−0.180, −0.043], firmly excluding zero, and the H1 advisor-type interactions (B2 δ₁, γ₁) yield CIs that clearly include zero. We acknowledge transparently in Section 4.1 that </w:t>
      </w:r>
      <w:proofErr w:type="gramStart"/>
      <w:r w:rsidRPr="00B72F39">
        <w:rPr>
          <w:rFonts w:ascii="Times New Roman" w:hAnsi="Times New Roman" w:cs="Times New Roman"/>
        </w:rPr>
        <w:t>this bootstrap addresses</w:t>
      </w:r>
      <w:proofErr w:type="gramEnd"/>
      <w:r w:rsidRPr="00B72F39">
        <w:rPr>
          <w:rFonts w:ascii="Times New Roman" w:hAnsi="Times New Roman" w:cs="Times New Roman"/>
        </w:rPr>
        <w:t xml:space="preserve"> sampling variability across participants but cannot address sampling variability across time-series realizations or model specifications.</w:t>
      </w:r>
    </w:p>
    <w:p w14:paraId="71B8B26E" w14:textId="6BB20D86"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highlight w:val="yellow"/>
        </w:rPr>
        <w:t>Third, we conducted a new, preregistered Study 2 (N = 247; Section 5.4) as our principal response to this concern. We want to be transparent about a design decision that differs from the reviewer's specific suggestion. The reviewer proposed different noise patterns for different participants and a different ARIMA model. During the preregistration stage we concluded that adding a small number of unbalanced noise sequences to an eight-cell design would reduce replication per sequence without cleanly identifying realization-level variance, and that introducing an AR term would change the adaptation mechanism rather than provide another controlled version of the same test (Section 5.4, second paragraph). Study 2 therefore retains ARIMA(0,1,1), fixes the seed and innovation sequence, and instead broadens the structural manipulation: advisor label is crossed with one AO profile and three LS persistence profiles (theta = .70, .83, .88), so the theta-matched AO-versus-LS-D4 comparison is a direct replication and the LS-D4/D8/D12 comparison tests whether the behavioral consequences of a level shift depend on the persistence regime. Study 2 also fixed all breakpoints in advance (rounds 19, 26, and 18 for robustness), added pre- and post-feedback stated-trust measures (the reviewer's Point 1), and quantified participant-sampling uncertainty with a 1,000-replication participant-cluster bootstrap.</w:t>
      </w:r>
      <w:bookmarkStart w:id="0" w:name="_GoBack"/>
      <w:bookmarkEnd w:id="0"/>
    </w:p>
    <w:p w14:paraId="71B8B26E" w14:textId="6BB20D86"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highlight w:val="yellow"/>
        </w:rPr>
        <w:t>The Study 2 results (Tables 4-8, Figures 7-12) replicate the Study 1 findings prospectively. Behavioral reliance fell after the fixed breakpoint (A1 b = -.036, p &lt; .001), the LS profile eroded reliance more than the AO profile (A3 LS x post b = -.047, p = .014; B3 LS x erosion b = -.053, p = .021, mixed-effects), and no advisor-label interaction approached significance (all p &gt; .85; nested LRT p = .68). The LS erosion contrast was about half its Study 1 magnitude, and its cluster-bootstrap interval, [-.113, +.005], narrowly includes zero, which we report rather than smooth over. The three LS persistence profiles did not produce a monotonic ordering of behavioral reliance, which we attribute to the fact that all profiles switch to corrected advice at round 20 (Section 5.4.2), and stated trust returned to baseline after corrected advice while behavioral reliance remained below baseline, a dissociation between stated and revealed trust of the kind the reviewer anticipated. An exploratory comparison of the two measures (Section 5.4.5) shows that they are correlated at the participant level (r about .4) but respond to feedback differently, which is exactly the divergence the reviewer cautioned about.</w:t>
      </w:r>
      <w:bookmarkStart w:id="0" w:name="_GoBack"/>
      <w:bookmarkEnd w:id="0"/>
    </w:p>
    <w:p w14:paraId="71B8B26E" w14:textId="6BB20D86"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highlight w:val="yellow"/>
        </w:rPr>
        <w:t>We state explicitly in Sections 5.3 and 5.4.8 that Study 2 replicates the findings within the same noise realization and does not by itself establish generalization across realizations or ARIMA classes; a fully crossed multi-realization experiment remains the appropriate direct test and is identified as the next step. Two further deviations from the registration are documented in a transparent-changes note deposited on OSF: because Amazon Mechanical Turk announced its closure and imposed a credit limit during collection, Study 2 participants were recruited on CloudResearch Connect, and the per-cell target was raised from 25 to 30 (247 valid completers across eight cells). The Study 2 data, analysis script, and full output are available at https://aiforalab.com/p/kimwj2990/study2-dashboard/.</w:t>
      </w:r>
      <w:bookmarkStart w:id="0" w:name="_GoBack"/>
      <w:bookmarkEnd w:id="0"/>
    </w:p>
    <w:p w14:paraId="71B8B26F"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are grateful to the reviewer for raising this concern, which has substantially strengthened the eventual contribution of the paper.</w:t>
      </w:r>
    </w:p>
    <w:p w14:paraId="71B8B270" w14:textId="77777777" w:rsidR="00CF1125" w:rsidRPr="00B72F39" w:rsidRDefault="00F71353">
      <w:pPr>
        <w:spacing w:before="200" w:after="100"/>
        <w:rPr>
          <w:rFonts w:ascii="Times New Roman" w:hAnsi="Times New Roman" w:cs="Times New Roman"/>
        </w:rPr>
      </w:pPr>
      <w:r w:rsidRPr="00B72F39">
        <w:rPr>
          <w:rFonts w:ascii="Times New Roman" w:hAnsi="Times New Roman" w:cs="Times New Roman"/>
          <w:b/>
          <w:bCs/>
          <w:sz w:val="24"/>
          <w:szCs w:val="24"/>
        </w:rPr>
        <w:t>Specific points</w:t>
      </w:r>
    </w:p>
    <w:p w14:paraId="71B8B271" w14:textId="77777777" w:rsidR="00CF1125" w:rsidRPr="00B72F39" w:rsidRDefault="00F71353">
      <w:pPr>
        <w:spacing w:before="160" w:after="80"/>
        <w:rPr>
          <w:rFonts w:ascii="Times New Roman" w:hAnsi="Times New Roman" w:cs="Times New Roman"/>
        </w:rPr>
      </w:pPr>
      <w:r w:rsidRPr="00B72F39">
        <w:rPr>
          <w:rFonts w:ascii="Times New Roman" w:hAnsi="Times New Roman" w:cs="Times New Roman"/>
          <w:b/>
          <w:bCs/>
        </w:rPr>
        <w:t>Point 1: WOA as a behavioral trust measure.</w:t>
      </w:r>
    </w:p>
    <w:p w14:paraId="71B8B272" w14:textId="0A2C4F9F"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“The paper uses WOA (Weight on advice) as a measure of trust. This should be made explicit. Within the literature, trust is sometimes measured </w:t>
      </w:r>
      <w:r w:rsidR="0017753F" w:rsidRPr="00B72F39">
        <w:rPr>
          <w:rFonts w:ascii="Times New Roman" w:hAnsi="Times New Roman" w:cs="Times New Roman"/>
          <w:i/>
          <w:iCs/>
          <w:color w:val="555555"/>
        </w:rPr>
        <w:t>behaviorally</w:t>
      </w:r>
      <w:r w:rsidRPr="00B72F39">
        <w:rPr>
          <w:rFonts w:ascii="Times New Roman" w:hAnsi="Times New Roman" w:cs="Times New Roman"/>
          <w:i/>
          <w:iCs/>
          <w:color w:val="555555"/>
        </w:rPr>
        <w:t xml:space="preserve"> as here (as revealed trust) and, on other occasions, it is measured by asking people to rate how much they trust a source (stated trust). These two approaches to measuring trust may not always provide consistent patterns of results.”</w:t>
      </w:r>
    </w:p>
    <w:p w14:paraId="71B8B273"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We have revised Sections 3.3 and 5.3 to make this distinction explicit. WOA is now described as a behavioral (revealed) measure of trust, distinguished from stated-trust measures (cf. O’Neill, 2002; </w:t>
      </w:r>
      <w:proofErr w:type="spellStart"/>
      <w:r w:rsidRPr="00B72F39">
        <w:rPr>
          <w:rFonts w:ascii="Times New Roman" w:hAnsi="Times New Roman" w:cs="Times New Roman"/>
        </w:rPr>
        <w:t>Daschner</w:t>
      </w:r>
      <w:proofErr w:type="spellEnd"/>
      <w:r w:rsidRPr="00B72F39">
        <w:rPr>
          <w:rFonts w:ascii="Times New Roman" w:hAnsi="Times New Roman" w:cs="Times New Roman"/>
        </w:rPr>
        <w:t xml:space="preserve"> &amp; </w:t>
      </w:r>
      <w:proofErr w:type="spellStart"/>
      <w:r w:rsidRPr="00B72F39">
        <w:rPr>
          <w:rFonts w:ascii="Times New Roman" w:hAnsi="Times New Roman" w:cs="Times New Roman"/>
        </w:rPr>
        <w:t>Obermaier</w:t>
      </w:r>
      <w:proofErr w:type="spellEnd"/>
      <w:r w:rsidRPr="00B72F39">
        <w:rPr>
          <w:rFonts w:ascii="Times New Roman" w:hAnsi="Times New Roman" w:cs="Times New Roman"/>
        </w:rPr>
        <w:t>, 2022), and we acknowledge that revealed and stated trust may diverge. We discuss this as a measurement-level limitation and a productive direction for triangulation in future research.</w:t>
      </w:r>
    </w:p>
    <w:p w14:paraId="71B8B274"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 xml:space="preserve">Point 2: </w:t>
      </w:r>
      <w:proofErr w:type="spellStart"/>
      <w:r w:rsidRPr="00B72F39">
        <w:rPr>
          <w:rFonts w:ascii="Times New Roman" w:hAnsi="Times New Roman" w:cs="Times New Roman"/>
          <w:b/>
          <w:bCs/>
        </w:rPr>
        <w:t>Slovic</w:t>
      </w:r>
      <w:proofErr w:type="spellEnd"/>
      <w:r w:rsidRPr="00B72F39">
        <w:rPr>
          <w:rFonts w:ascii="Times New Roman" w:hAnsi="Times New Roman" w:cs="Times New Roman"/>
          <w:b/>
          <w:bCs/>
        </w:rPr>
        <w:t xml:space="preserve"> on trust asymmetry.</w:t>
      </w:r>
    </w:p>
    <w:p w14:paraId="71B8B275"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“Paul </w:t>
      </w:r>
      <w:proofErr w:type="spellStart"/>
      <w:r w:rsidRPr="00B72F39">
        <w:rPr>
          <w:rFonts w:ascii="Times New Roman" w:hAnsi="Times New Roman" w:cs="Times New Roman"/>
          <w:i/>
          <w:iCs/>
          <w:color w:val="555555"/>
        </w:rPr>
        <w:t>Slovic</w:t>
      </w:r>
      <w:proofErr w:type="spellEnd"/>
      <w:r w:rsidRPr="00B72F39">
        <w:rPr>
          <w:rFonts w:ascii="Times New Roman" w:hAnsi="Times New Roman" w:cs="Times New Roman"/>
          <w:i/>
          <w:iCs/>
          <w:color w:val="555555"/>
        </w:rPr>
        <w:t xml:space="preserve"> has published various papers documenting findings showing that trust is much easier to destroy than to create… it still appears relevant to the authors’ work (e.g., </w:t>
      </w:r>
      <w:proofErr w:type="spellStart"/>
      <w:r w:rsidRPr="00B72F39">
        <w:rPr>
          <w:rFonts w:ascii="Times New Roman" w:hAnsi="Times New Roman" w:cs="Times New Roman"/>
          <w:i/>
          <w:iCs/>
          <w:color w:val="555555"/>
        </w:rPr>
        <w:t>Slovic</w:t>
      </w:r>
      <w:proofErr w:type="spellEnd"/>
      <w:r w:rsidRPr="00B72F39">
        <w:rPr>
          <w:rFonts w:ascii="Times New Roman" w:hAnsi="Times New Roman" w:cs="Times New Roman"/>
          <w:i/>
          <w:iCs/>
          <w:color w:val="555555"/>
        </w:rPr>
        <w:t>, P. (1993). Perceived risk, trust, and democracy. Risk Analysis, 13(6), 675-682).”</w:t>
      </w:r>
    </w:p>
    <w:p w14:paraId="71B8B276"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Thank you for the suggestion. We have added </w:t>
      </w:r>
      <w:proofErr w:type="spellStart"/>
      <w:r w:rsidRPr="00B72F39">
        <w:rPr>
          <w:rFonts w:ascii="Times New Roman" w:hAnsi="Times New Roman" w:cs="Times New Roman"/>
        </w:rPr>
        <w:t>Slovic</w:t>
      </w:r>
      <w:proofErr w:type="spellEnd"/>
      <w:r w:rsidRPr="00B72F39">
        <w:rPr>
          <w:rFonts w:ascii="Times New Roman" w:hAnsi="Times New Roman" w:cs="Times New Roman"/>
        </w:rPr>
        <w:t xml:space="preserve"> (1993) to the discussion of trust asymmetry in Section 5.1 and to the Introduction’s preview of negativity-bias logic. The connection is highly germane: </w:t>
      </w:r>
      <w:proofErr w:type="spellStart"/>
      <w:r w:rsidRPr="00B72F39">
        <w:rPr>
          <w:rFonts w:ascii="Times New Roman" w:hAnsi="Times New Roman" w:cs="Times New Roman"/>
        </w:rPr>
        <w:t>Slovic’s</w:t>
      </w:r>
      <w:proofErr w:type="spellEnd"/>
      <w:r w:rsidRPr="00B72F39">
        <w:rPr>
          <w:rFonts w:ascii="Times New Roman" w:hAnsi="Times New Roman" w:cs="Times New Roman"/>
        </w:rPr>
        <w:t xml:space="preserve"> asymmetry principle, that trust is much easier to destroy than to create, provides direct theoretical grounding for our empirical asymmetry between erosion and recovery.</w:t>
      </w:r>
    </w:p>
    <w:p w14:paraId="71B8B277"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Point 3: Cue-based vs. time-series forecasting paradigm.</w:t>
      </w:r>
    </w:p>
    <w:p w14:paraId="71B8B278"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w:t>
      </w:r>
      <w:proofErr w:type="spellStart"/>
      <w:r w:rsidRPr="00B72F39">
        <w:rPr>
          <w:rFonts w:ascii="Times New Roman" w:hAnsi="Times New Roman" w:cs="Times New Roman"/>
          <w:i/>
          <w:iCs/>
          <w:color w:val="555555"/>
        </w:rPr>
        <w:t>Dietvorst</w:t>
      </w:r>
      <w:proofErr w:type="spellEnd"/>
      <w:r w:rsidRPr="00B72F39">
        <w:rPr>
          <w:rFonts w:ascii="Times New Roman" w:hAnsi="Times New Roman" w:cs="Times New Roman"/>
          <w:i/>
          <w:iCs/>
          <w:color w:val="555555"/>
        </w:rPr>
        <w:t xml:space="preserve"> et al. (2015) studied cue-based forecasting… Harvey &amp; De </w:t>
      </w:r>
      <w:proofErr w:type="spellStart"/>
      <w:r w:rsidRPr="00B72F39">
        <w:rPr>
          <w:rFonts w:ascii="Times New Roman" w:hAnsi="Times New Roman" w:cs="Times New Roman"/>
          <w:i/>
          <w:iCs/>
          <w:color w:val="555555"/>
        </w:rPr>
        <w:t>Baets</w:t>
      </w:r>
      <w:proofErr w:type="spellEnd"/>
      <w:r w:rsidRPr="00B72F39">
        <w:rPr>
          <w:rFonts w:ascii="Times New Roman" w:hAnsi="Times New Roman" w:cs="Times New Roman"/>
          <w:i/>
          <w:iCs/>
          <w:color w:val="555555"/>
        </w:rPr>
        <w:t xml:space="preserve"> (2025…) pointed out that previous studies have shown that results for time-series forecasting are exactly the opposite of those that </w:t>
      </w:r>
      <w:proofErr w:type="spellStart"/>
      <w:r w:rsidRPr="00B72F39">
        <w:rPr>
          <w:rFonts w:ascii="Times New Roman" w:hAnsi="Times New Roman" w:cs="Times New Roman"/>
          <w:i/>
          <w:iCs/>
          <w:color w:val="555555"/>
        </w:rPr>
        <w:t>Dietvorst</w:t>
      </w:r>
      <w:proofErr w:type="spellEnd"/>
      <w:r w:rsidRPr="00B72F39">
        <w:rPr>
          <w:rFonts w:ascii="Times New Roman" w:hAnsi="Times New Roman" w:cs="Times New Roman"/>
          <w:i/>
          <w:iCs/>
          <w:color w:val="555555"/>
        </w:rPr>
        <w:t xml:space="preserve"> et al. (2015) and others have shown for cue-based forecasting… Thus, the authors’ discussion of ‘perfection schema’ is not relevant to the paradigm that they use for their experiments.”</w:t>
      </w:r>
    </w:p>
    <w:p w14:paraId="71B8B279"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This is an important point, and we have substantially revised the literature framing in Sections 2.2 and 5.1 to address it. We now explicitly distinguish cue-based forecasting (the paradigm of </w:t>
      </w:r>
      <w:proofErr w:type="spellStart"/>
      <w:r w:rsidRPr="00B72F39">
        <w:rPr>
          <w:rFonts w:ascii="Times New Roman" w:hAnsi="Times New Roman" w:cs="Times New Roman"/>
        </w:rPr>
        <w:t>Dietvorst</w:t>
      </w:r>
      <w:proofErr w:type="spellEnd"/>
      <w:r w:rsidRPr="00B72F39">
        <w:rPr>
          <w:rFonts w:ascii="Times New Roman" w:hAnsi="Times New Roman" w:cs="Times New Roman"/>
        </w:rPr>
        <w:t xml:space="preserve"> et al., 2015 and most algorithm-aversion studies) from time-series forecasting (the paradigm of the present study), citing Harvey and De </w:t>
      </w:r>
      <w:proofErr w:type="spellStart"/>
      <w:r w:rsidRPr="00B72F39">
        <w:rPr>
          <w:rFonts w:ascii="Times New Roman" w:hAnsi="Times New Roman" w:cs="Times New Roman"/>
        </w:rPr>
        <w:t>Baets</w:t>
      </w:r>
      <w:proofErr w:type="spellEnd"/>
      <w:r w:rsidRPr="00B72F39">
        <w:rPr>
          <w:rFonts w:ascii="Times New Roman" w:hAnsi="Times New Roman" w:cs="Times New Roman"/>
        </w:rPr>
        <w:t xml:space="preserve"> (2025), </w:t>
      </w:r>
      <w:proofErr w:type="spellStart"/>
      <w:r w:rsidRPr="00B72F39">
        <w:rPr>
          <w:rFonts w:ascii="Times New Roman" w:hAnsi="Times New Roman" w:cs="Times New Roman"/>
        </w:rPr>
        <w:t>Önkal</w:t>
      </w:r>
      <w:proofErr w:type="spellEnd"/>
      <w:r w:rsidRPr="00B72F39">
        <w:rPr>
          <w:rFonts w:ascii="Times New Roman" w:hAnsi="Times New Roman" w:cs="Times New Roman"/>
        </w:rPr>
        <w:t xml:space="preserve"> et al. (2009), and Chacon et al. (2022). We acknowledge that the algorithm-aversion / perfection-schema findings from cue-based studies do not directly transfer to time-series settings, and that previous time-series work has shown algorithm appreciation before feedback and algorithm aversion after, the reverse pattern from cue-based work.</w:t>
      </w:r>
    </w:p>
    <w:p w14:paraId="71B8B27A"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This revised framing actually strengthens our paper’s positioning. The original manuscript framed the H1 </w:t>
      </w:r>
      <w:r w:rsidRPr="00B72F39">
        <w:rPr>
          <w:rFonts w:ascii="Times New Roman" w:hAnsi="Times New Roman" w:cs="Times New Roman"/>
        </w:rPr>
        <w:lastRenderedPageBreak/>
        <w:t>null result as a challenge to algorithm aversion in general; the revised framing presents it as a challenge to advisor-identity-centered accounts within the time-series paradigm specifically, where the appropriate baseline expectation is itself less certain. We treat the perfection-schema mechanism as a candidate explanation that originates in cue-based work and may not extend cleanly to time-series environments, a point that adds nuance rather than contradicting our interpretation.</w:t>
      </w:r>
    </w:p>
    <w:p w14:paraId="71B8B27B"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Point 4: Information criteria for model comparison.</w:t>
      </w:r>
    </w:p>
    <w:p w14:paraId="71B8B27C"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“The authors report several models… without explicitly comparing their fits. As the different models contain different numbers of parameters, consider reporting values of the Bayesian Information Criterion (BIC) values to determine which model best describes the data (Raftery (</w:t>
      </w:r>
      <w:proofErr w:type="gramStart"/>
      <w:r w:rsidRPr="00B72F39">
        <w:rPr>
          <w:rFonts w:ascii="Times New Roman" w:hAnsi="Times New Roman" w:cs="Times New Roman"/>
          <w:i/>
          <w:iCs/>
          <w:color w:val="555555"/>
        </w:rPr>
        <w:t>1995)…</w:t>
      </w:r>
      <w:proofErr w:type="gramEnd"/>
      <w:r w:rsidRPr="00B72F39">
        <w:rPr>
          <w:rFonts w:ascii="Times New Roman" w:hAnsi="Times New Roman" w:cs="Times New Roman"/>
          <w:i/>
          <w:iCs/>
          <w:color w:val="555555"/>
        </w:rPr>
        <w:t>).”</w:t>
      </w:r>
    </w:p>
    <w:p w14:paraId="71B8B27D"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added BIC and AIC values, parameter counts (k), and a model-comparison paragraph following Table 2 in Section 4.1. The two criteria yield divergent rankings: AIC selects Model B3 (the most flexible specification) as best, while OLS-based BIC selects Model A1 (the simplest). This divergence reflects the very small share of variance explained by any structural predictor (R² ≤ 0.009 across all OLS models), characteristic of advice-taking research at the trial level (</w:t>
      </w:r>
      <w:proofErr w:type="spellStart"/>
      <w:r w:rsidRPr="00B72F39">
        <w:rPr>
          <w:rFonts w:ascii="Times New Roman" w:hAnsi="Times New Roman" w:cs="Times New Roman"/>
        </w:rPr>
        <w:t>Bonaccio</w:t>
      </w:r>
      <w:proofErr w:type="spellEnd"/>
      <w:r w:rsidRPr="00B72F39">
        <w:rPr>
          <w:rFonts w:ascii="Times New Roman" w:hAnsi="Times New Roman" w:cs="Times New Roman"/>
        </w:rPr>
        <w:t xml:space="preserve"> &amp; </w:t>
      </w:r>
      <w:proofErr w:type="spellStart"/>
      <w:r w:rsidRPr="00B72F39">
        <w:rPr>
          <w:rFonts w:ascii="Times New Roman" w:hAnsi="Times New Roman" w:cs="Times New Roman"/>
        </w:rPr>
        <w:t>Dalal</w:t>
      </w:r>
      <w:proofErr w:type="spellEnd"/>
      <w:r w:rsidRPr="00B72F39">
        <w:rPr>
          <w:rFonts w:ascii="Times New Roman" w:hAnsi="Times New Roman" w:cs="Times New Roman"/>
        </w:rPr>
        <w:t>, 2006); BIC’s heavier complexity penalty disadvantages any model that adds parameters in this regime.</w:t>
      </w:r>
    </w:p>
    <w:p w14:paraId="71B8B27E"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When the same comparison is conducted under mixed-effects estimation, which absorbs participant-level baseline variability, the BIC ranking realigns with our hypothesis-driven preferences: Model A3 (shock-type interaction) emerges as best (BIC = 1522.42), with B3 close behind (BIC = 1527.58), while A2 and B2 (advisor-type models) are the worst-fitting (BIC = 1542.18 and 1550.31). We complement the criterion-based comparison with nested likelihood ratio tests, which confirm that adding shock-type interaction to a recovery-only model significantly improves fit (B1 → B3: −2ΔLL = 14.33, df = 3, p = .003) while adding advisor-type interaction does not (B1 → B2: −2ΔLL = 2.52, df = 3, p = .471). These tests reinforce the conclusion that error structure dominates advisor identity in shaping trust dynamics, even when model selection adjusts for parametric cost.</w:t>
      </w:r>
    </w:p>
    <w:p w14:paraId="71B8B27F"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Point 5: Step-change modeling and longer recovery data.</w:t>
      </w:r>
    </w:p>
    <w:p w14:paraId="71B8B280"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 xml:space="preserve">“I </w:t>
      </w:r>
      <w:proofErr w:type="spellStart"/>
      <w:r w:rsidRPr="00B72F39">
        <w:rPr>
          <w:rFonts w:ascii="Times New Roman" w:hAnsi="Times New Roman" w:cs="Times New Roman"/>
          <w:i/>
          <w:iCs/>
          <w:color w:val="555555"/>
        </w:rPr>
        <w:t>recognise</w:t>
      </w:r>
      <w:proofErr w:type="spellEnd"/>
      <w:r w:rsidRPr="00B72F39">
        <w:rPr>
          <w:rFonts w:ascii="Times New Roman" w:hAnsi="Times New Roman" w:cs="Times New Roman"/>
          <w:i/>
          <w:iCs/>
          <w:color w:val="555555"/>
        </w:rPr>
        <w:t xml:space="preserve"> that options are limited for modelling the recovery from the </w:t>
      </w:r>
      <w:proofErr w:type="gramStart"/>
      <w:r w:rsidRPr="00B72F39">
        <w:rPr>
          <w:rFonts w:ascii="Times New Roman" w:hAnsi="Times New Roman" w:cs="Times New Roman"/>
          <w:i/>
          <w:iCs/>
          <w:color w:val="555555"/>
        </w:rPr>
        <w:t>drop in</w:t>
      </w:r>
      <w:proofErr w:type="gramEnd"/>
      <w:r w:rsidRPr="00B72F39">
        <w:rPr>
          <w:rFonts w:ascii="Times New Roman" w:hAnsi="Times New Roman" w:cs="Times New Roman"/>
          <w:i/>
          <w:iCs/>
          <w:color w:val="555555"/>
        </w:rPr>
        <w:t xml:space="preserve"> trust… but does it have to be modelled as a step change? Also, I could not help feeling that a longer run of data in the recovery phase would have revealed a larger degree of recovery in the LS condition.”</w:t>
      </w:r>
    </w:p>
    <w:p w14:paraId="71B8B281"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Both points are valid. We have addressed them in Section 5.3 (Limitations) and provided partial responses in the analysis itself.</w:t>
      </w:r>
    </w:p>
    <w:p w14:paraId="71B8B282"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On step-change modeling: we agree that a step-change specification is a parsimonious approximation to what is plausibly a smoother recovery trajectory. We chose this specification because (a) it preserves interpretability of the γ coefficients as estimated baseline shifts, (b) the relatively short recovery window (rounds 26–30) does not provide enough power to identify alternative functional forms (e.g., exponential decay) reliably, and (c) it parallels the step-change specification of the shock period itself, simplifying interpretation. We acknowledge in Section 5.3 that this is an approximation and recommend that future work with longer recovery windows test alternative recovery functional forms (e.g., exponential, sigmoidal). Study 2 retained the step-change specification with preregistered breakpoints so that the Study 1 coefficients could be replicated on the same scale, and it added round-level stated-trust measures whose trajectories (Figure 10) show the shape of recovery directly: stated trust rebounds within one to two rounds of the first corrected forecast, whereas behavioral reliance moves only part of the way back. Because the Study 2 recovery window is again only five rounds, a formal test of alternative recovery functional forms remains a task for a design with a longer post-correction horizon, which we identify as future work in Section 5.4.8.</w:t>
      </w:r>
    </w:p>
    <w:p w14:paraId="71B8B283"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On the truncation of the recovery phase: we agree that the LS recovery may have been further along than our 5-round post-recovery window captured. We now state this explicitly as a limitation and note that the partial-recovery interpretation should be understood as a lower bound on what an extended observation window might reveal.</w:t>
      </w:r>
    </w:p>
    <w:p w14:paraId="71B8B284"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Point 6: Optimism bias in adjusted forecasts.</w:t>
      </w:r>
    </w:p>
    <w:p w14:paraId="71B8B285" w14:textId="77777777" w:rsidR="00CF1125" w:rsidRPr="00B72F39" w:rsidRDefault="00F71353">
      <w:pPr>
        <w:spacing w:before="80" w:after="120" w:line="280" w:lineRule="auto"/>
        <w:ind w:left="360"/>
        <w:jc w:val="both"/>
        <w:rPr>
          <w:rFonts w:ascii="Times New Roman" w:hAnsi="Times New Roman" w:cs="Times New Roman"/>
        </w:rPr>
      </w:pPr>
      <w:r w:rsidRPr="00B72F39">
        <w:rPr>
          <w:rFonts w:ascii="Times New Roman" w:hAnsi="Times New Roman" w:cs="Times New Roman"/>
          <w:i/>
          <w:iCs/>
          <w:color w:val="555555"/>
        </w:rPr>
        <w:t>“Advice was optimal (except for the periods 17-19) and yet WOA was very low… here, were post-adjustment forecasts higher than the optimal ones provided by the advice?”</w:t>
      </w:r>
    </w:p>
    <w:p w14:paraId="71B8B286"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have conducted the requested analysis and added a new Section 4.4 reporting the results.</w:t>
      </w:r>
    </w:p>
    <w:p w14:paraId="71B8B287"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The data do not support a directional optimism bias in stock-price forecasting. Across all observations (after excluding 36 data-entry outliers from six participants), the mean of (Final − Advice) was −0.36 (median = 0.00, p = .004), indicating that final forecasts were slightly below rather than above the advised values. The pattern was period-dependent, with the largest deviations from advice occurring in the immediate post-shock period (mean = −1.56, p &lt; .001), where participants did not fully follow advisors’ upward revisions to the new post-LS baseline.</w:t>
      </w:r>
    </w:p>
    <w:p w14:paraId="71B8B288"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 xml:space="preserve">However, conditioning on advice direction reveals a clear anchoring pattern: when the advisor recommended an upward revision relative to the participant’s initial forecast, the participant’s final value fell below the advised amount (mean = −3.23); when the advisor recommended a downward revision, the final value fell above (mean = +2.17). This bidirectional pattern, pulling toward the initial estimate regardless of advice direction, is the behavioral signature of egocentric anchoring (Yaniv &amp; </w:t>
      </w:r>
      <w:proofErr w:type="spellStart"/>
      <w:r w:rsidRPr="00B72F39">
        <w:rPr>
          <w:rFonts w:ascii="Times New Roman" w:hAnsi="Times New Roman" w:cs="Times New Roman"/>
        </w:rPr>
        <w:t>Kleinberger</w:t>
      </w:r>
      <w:proofErr w:type="spellEnd"/>
      <w:r w:rsidRPr="00B72F39">
        <w:rPr>
          <w:rFonts w:ascii="Times New Roman" w:hAnsi="Times New Roman" w:cs="Times New Roman"/>
        </w:rPr>
        <w:t xml:space="preserve">, 2000; Soll &amp; </w:t>
      </w:r>
      <w:proofErr w:type="spellStart"/>
      <w:r w:rsidRPr="00B72F39">
        <w:rPr>
          <w:rFonts w:ascii="Times New Roman" w:hAnsi="Times New Roman" w:cs="Times New Roman"/>
        </w:rPr>
        <w:t>Larrick</w:t>
      </w:r>
      <w:proofErr w:type="spellEnd"/>
      <w:r w:rsidRPr="00B72F39">
        <w:rPr>
          <w:rFonts w:ascii="Times New Roman" w:hAnsi="Times New Roman" w:cs="Times New Roman"/>
        </w:rPr>
        <w:t>, 2009) rather than directional optimism. We discuss this connection in Section 4.4 and link it to the substantial individual heterogeneity in baseline WOA (ICC = 0.441).</w:t>
      </w:r>
    </w:p>
    <w:p w14:paraId="71B8B289"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Thank you for prompting this analysis; it strengthens the paper’s behavioral characterization of trust dynamics under study.</w:t>
      </w:r>
    </w:p>
    <w:p w14:paraId="71B8B28A" w14:textId="77777777" w:rsidR="00CF1125" w:rsidRPr="00B72F39" w:rsidRDefault="00F71353">
      <w:pPr>
        <w:spacing w:before="200" w:after="80"/>
        <w:rPr>
          <w:rFonts w:ascii="Times New Roman" w:hAnsi="Times New Roman" w:cs="Times New Roman"/>
        </w:rPr>
      </w:pPr>
      <w:r w:rsidRPr="00B72F39">
        <w:rPr>
          <w:rFonts w:ascii="Times New Roman" w:hAnsi="Times New Roman" w:cs="Times New Roman"/>
          <w:b/>
          <w:bCs/>
        </w:rPr>
        <w:t>Minor point: Appendix B was missing.</w:t>
      </w:r>
    </w:p>
    <w:p w14:paraId="71B8B28B"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Apologies for the oversight. Appendix B is now included; see also our response to Reviewer 1, Editorial Note 2.</w:t>
      </w:r>
    </w:p>
    <w:p w14:paraId="7970545B" w14:textId="77777777" w:rsidR="00662D82" w:rsidRDefault="00662D82">
      <w:pPr>
        <w:widowControl/>
        <w:wordWrap/>
        <w:autoSpaceDE/>
        <w:autoSpaceDN/>
        <w:rPr>
          <w:rFonts w:ascii="Times New Roman" w:hAnsi="Times New Roman" w:cs="Times New Roman"/>
        </w:rPr>
      </w:pPr>
      <w:r>
        <w:rPr>
          <w:rFonts w:ascii="Times New Roman" w:hAnsi="Times New Roman" w:cs="Times New Roman"/>
        </w:rPr>
        <w:br w:type="page"/>
      </w:r>
    </w:p>
    <w:p w14:paraId="71B8B28D" w14:textId="2C8B5CB5"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are grateful to both reviewers for the substantial improvements their feedback has produced. The revision is, in our view, a stronger paper: more honest about its limitations, more comprehensive in its statistical treatment, and embedded in a richer conversation with adjacent literatures (HCI, time-series forecasting, individual-difference advice-taking). The new preregistered Study 2 answers the two reviewers' central methodological concerns as far as a single follow-up study can: it removes the post-hoc breakpoint (Reviewer 1) by fixing the breakpoints in advance, tests the advisor-by-shock interaction directly (Reviewer 1), measures stated as well as revealed trust (Reviewer 2), and replicates the core findings in a new and larger sample with cluster-bootstrap uncertainty (Reviewer 2). We are explicit that it does not yet establish generalization across noise realizations or ARIMA classes, and we frame that multi-realization test as the next study rather than claim it here.</w:t>
      </w:r>
    </w:p>
    <w:p w14:paraId="71B8B28E" w14:textId="77777777" w:rsidR="00CF1125" w:rsidRPr="00B72F39" w:rsidRDefault="00F71353">
      <w:pPr>
        <w:spacing w:after="120" w:line="300" w:lineRule="auto"/>
        <w:jc w:val="both"/>
        <w:rPr>
          <w:rFonts w:ascii="Times New Roman" w:hAnsi="Times New Roman" w:cs="Times New Roman"/>
        </w:rPr>
      </w:pPr>
      <w:r w:rsidRPr="00B72F39">
        <w:rPr>
          <w:rFonts w:ascii="Times New Roman" w:hAnsi="Times New Roman" w:cs="Times New Roman"/>
        </w:rPr>
        <w:t>We thank the Editor for the opportunity to revise and resubmit, and we are happy to make any additional revisions the Editor or reviewers may request.</w:t>
      </w:r>
    </w:p>
    <w:sectPr w:rsidR="00CF1125" w:rsidRPr="00B72F3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8B298" w14:textId="77777777" w:rsidR="00EE454D" w:rsidRDefault="00F71353">
      <w:r>
        <w:separator/>
      </w:r>
    </w:p>
  </w:endnote>
  <w:endnote w:type="continuationSeparator" w:id="0">
    <w:p w14:paraId="71B8B29A" w14:textId="77777777" w:rsidR="00EE454D" w:rsidRDefault="00F71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8B293" w14:textId="4A73115C" w:rsidR="00CF1125" w:rsidRDefault="00F71353">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B72F39">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B72F39">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8B294" w14:textId="77777777" w:rsidR="00EE454D" w:rsidRDefault="00F71353">
      <w:r>
        <w:separator/>
      </w:r>
    </w:p>
  </w:footnote>
  <w:footnote w:type="continuationSeparator" w:id="0">
    <w:p w14:paraId="71B8B296" w14:textId="77777777" w:rsidR="00EE454D" w:rsidRDefault="00F71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70450"/>
    <w:multiLevelType w:val="hybridMultilevel"/>
    <w:tmpl w:val="27623406"/>
    <w:lvl w:ilvl="0" w:tplc="2796156C">
      <w:start w:val="1"/>
      <w:numFmt w:val="bullet"/>
      <w:lvlText w:val="•"/>
      <w:lvlJc w:val="left"/>
      <w:pPr>
        <w:ind w:left="720" w:hanging="360"/>
      </w:pPr>
    </w:lvl>
    <w:lvl w:ilvl="1" w:tplc="3C62DE2A">
      <w:numFmt w:val="decimal"/>
      <w:lvlText w:val=""/>
      <w:lvlJc w:val="left"/>
    </w:lvl>
    <w:lvl w:ilvl="2" w:tplc="B198C61E">
      <w:numFmt w:val="decimal"/>
      <w:lvlText w:val=""/>
      <w:lvlJc w:val="left"/>
    </w:lvl>
    <w:lvl w:ilvl="3" w:tplc="119CEA58">
      <w:numFmt w:val="decimal"/>
      <w:lvlText w:val=""/>
      <w:lvlJc w:val="left"/>
    </w:lvl>
    <w:lvl w:ilvl="4" w:tplc="C64E47D2">
      <w:numFmt w:val="decimal"/>
      <w:lvlText w:val=""/>
      <w:lvlJc w:val="left"/>
    </w:lvl>
    <w:lvl w:ilvl="5" w:tplc="C140258A">
      <w:numFmt w:val="decimal"/>
      <w:lvlText w:val=""/>
      <w:lvlJc w:val="left"/>
    </w:lvl>
    <w:lvl w:ilvl="6" w:tplc="64B02D24">
      <w:numFmt w:val="decimal"/>
      <w:lvlText w:val=""/>
      <w:lvlJc w:val="left"/>
    </w:lvl>
    <w:lvl w:ilvl="7" w:tplc="17709302">
      <w:numFmt w:val="decimal"/>
      <w:lvlText w:val=""/>
      <w:lvlJc w:val="left"/>
    </w:lvl>
    <w:lvl w:ilvl="8" w:tplc="392247AA">
      <w:numFmt w:val="decimal"/>
      <w:lvlText w:val=""/>
      <w:lvlJc w:val="left"/>
    </w:lvl>
  </w:abstractNum>
  <w:abstractNum w:abstractNumId="1" w15:restartNumberingAfterBreak="0">
    <w:nsid w:val="559614FC"/>
    <w:multiLevelType w:val="hybridMultilevel"/>
    <w:tmpl w:val="9CDC49F8"/>
    <w:lvl w:ilvl="0" w:tplc="24925D06">
      <w:start w:val="1"/>
      <w:numFmt w:val="bullet"/>
      <w:lvlText w:val="●"/>
      <w:lvlJc w:val="left"/>
      <w:pPr>
        <w:ind w:left="720" w:hanging="360"/>
      </w:pPr>
    </w:lvl>
    <w:lvl w:ilvl="1" w:tplc="39083116">
      <w:start w:val="1"/>
      <w:numFmt w:val="bullet"/>
      <w:lvlText w:val="○"/>
      <w:lvlJc w:val="left"/>
      <w:pPr>
        <w:ind w:left="1440" w:hanging="360"/>
      </w:pPr>
    </w:lvl>
    <w:lvl w:ilvl="2" w:tplc="A6745A9E">
      <w:start w:val="1"/>
      <w:numFmt w:val="bullet"/>
      <w:lvlText w:val="■"/>
      <w:lvlJc w:val="left"/>
      <w:pPr>
        <w:ind w:left="2160" w:hanging="360"/>
      </w:pPr>
    </w:lvl>
    <w:lvl w:ilvl="3" w:tplc="F87A066E">
      <w:start w:val="1"/>
      <w:numFmt w:val="bullet"/>
      <w:lvlText w:val="●"/>
      <w:lvlJc w:val="left"/>
      <w:pPr>
        <w:ind w:left="2880" w:hanging="360"/>
      </w:pPr>
    </w:lvl>
    <w:lvl w:ilvl="4" w:tplc="0CD46B28">
      <w:start w:val="1"/>
      <w:numFmt w:val="bullet"/>
      <w:lvlText w:val="○"/>
      <w:lvlJc w:val="left"/>
      <w:pPr>
        <w:ind w:left="3600" w:hanging="360"/>
      </w:pPr>
    </w:lvl>
    <w:lvl w:ilvl="5" w:tplc="5D30900C">
      <w:start w:val="1"/>
      <w:numFmt w:val="bullet"/>
      <w:lvlText w:val="■"/>
      <w:lvlJc w:val="left"/>
      <w:pPr>
        <w:ind w:left="4320" w:hanging="360"/>
      </w:pPr>
    </w:lvl>
    <w:lvl w:ilvl="6" w:tplc="9DF09F8E">
      <w:start w:val="1"/>
      <w:numFmt w:val="bullet"/>
      <w:lvlText w:val="●"/>
      <w:lvlJc w:val="left"/>
      <w:pPr>
        <w:ind w:left="5040" w:hanging="360"/>
      </w:pPr>
    </w:lvl>
    <w:lvl w:ilvl="7" w:tplc="7C74DA82">
      <w:start w:val="1"/>
      <w:numFmt w:val="bullet"/>
      <w:lvlText w:val="●"/>
      <w:lvlJc w:val="left"/>
      <w:pPr>
        <w:ind w:left="5760" w:hanging="360"/>
      </w:pPr>
    </w:lvl>
    <w:lvl w:ilvl="8" w:tplc="6220FB62">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isplayBackgroundShape/>
  <w:bordersDoNotSurroundHeader/>
  <w:bordersDoNotSurroundFooter/>
  <w:proofState w:spelling="clean" w:grammar="clean"/>
  <w:defaultTabStop w:val="80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125"/>
    <w:rsid w:val="0017753F"/>
    <w:rsid w:val="00662D82"/>
    <w:rsid w:val="00754875"/>
    <w:rsid w:val="00A06E26"/>
    <w:rsid w:val="00B72F39"/>
    <w:rsid w:val="00CF1125"/>
    <w:rsid w:val="00EE454D"/>
    <w:rsid w:val="00F7135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B223"/>
  <w15:docId w15:val="{BEA44B72-BABA-4AB1-A1E5-A2177479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2"/>
        <w:szCs w:val="22"/>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rPr>
      <w:sz w:val="20"/>
      <w:szCs w:val="20"/>
    </w:rPr>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rPr>
      <w:sz w:val="20"/>
      <w:szCs w:val="20"/>
    </w:rPr>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B72F39"/>
    <w:pPr>
      <w:tabs>
        <w:tab w:val="center" w:pos="4513"/>
        <w:tab w:val="right" w:pos="9026"/>
      </w:tabs>
      <w:snapToGrid w:val="0"/>
    </w:pPr>
  </w:style>
  <w:style w:type="character" w:customStyle="1" w:styleId="Char1">
    <w:name w:val="머리글 Char"/>
    <w:basedOn w:val="a0"/>
    <w:link w:val="aa"/>
    <w:uiPriority w:val="99"/>
    <w:rsid w:val="00B72F39"/>
  </w:style>
  <w:style w:type="paragraph" w:styleId="ab">
    <w:name w:val="footer"/>
    <w:basedOn w:val="a"/>
    <w:link w:val="Char2"/>
    <w:uiPriority w:val="99"/>
    <w:unhideWhenUsed/>
    <w:rsid w:val="00B72F39"/>
    <w:pPr>
      <w:tabs>
        <w:tab w:val="center" w:pos="4513"/>
        <w:tab w:val="right" w:pos="9026"/>
      </w:tabs>
      <w:snapToGrid w:val="0"/>
    </w:pPr>
  </w:style>
  <w:style w:type="character" w:customStyle="1" w:styleId="Char2">
    <w:name w:val="바닥글 Char"/>
    <w:basedOn w:val="a0"/>
    <w:link w:val="ab"/>
    <w:uiPriority w:val="99"/>
    <w:rsid w:val="00B72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4855</Words>
  <Characters>27675</Characters>
  <Application>Microsoft Office Word</Application>
  <DocSecurity>0</DocSecurity>
  <Lines>230</Lines>
  <Paragraphs>64</Paragraphs>
  <ScaleCrop>false</ScaleCrop>
  <Company/>
  <LinksUpToDate>false</LinksUpToDate>
  <CharactersWithSpaces>32466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Hyo Young Kim</cp:lastModifiedBy>
  <cp:revision>7</cp:revision>
  <dcterms:created xsi:type="dcterms:W3CDTF">2026-04-30T13:19:00Z</dcterms:created>
  <dcterms:modified xsi:type="dcterms:W3CDTF">2026-08-05T06:37:00Z</dcterms:modified>
</cp:coreProperties>
</file>