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0"/>
              </w:rPr>
              <w:t xml:space="preserve"> </w:t>
            </w:r>
          </w:p>
        </w:tc>
      </w:tr>
    </w:tbl>
    <w:p>
      <w:pPr>
        <w:pStyle w:val="2"/>
        <w:widowControl w:val="off"/>
        <w:spacing w:after="140" w:line="408"/>
      </w:pP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sz w:val="132"/>
        </w:rPr>
        <w:t xml:space="preserve"> </w:t>
      </w:r>
    </w:p>
    <w:p>
      <w:pPr>
        <w:pStyle w:val="0"/>
        <w:widowControl w:val="off"/>
        <w:spacing w:after="140" w:line="408"/>
        <w:jc w:val="center"/>
      </w:pPr>
      <w:r>
        <w:rPr>
          <w:rFonts w:ascii="맑은 고딕" w:eastAsia="맑은 고딕"/>
          <w:b/>
          <w:color w:val="1f4e9c"/>
          <w:sz w:val="28"/>
        </w:rPr>
        <w:t>주세 정책이 경제·물가에 미치는 영향 연구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0"/>
              </w:rPr>
              <w:t xml:space="preserve"> </w:t>
            </w:r>
          </w:p>
        </w:tc>
      </w:tr>
    </w:tbl>
    <w:p>
      <w:pPr>
        <w:pStyle w:val="0"/>
        <w:widowControl w:val="off"/>
        <w:spacing w:after="140" w:line="408"/>
        <w:jc w:val="center"/>
      </w:pPr>
    </w:p>
    <w:p>
      <w:pPr>
        <w:pStyle w:val="0"/>
        <w:widowControl w:val="off"/>
        <w:spacing w:after="140" w:line="408"/>
        <w:jc w:val="center"/>
      </w:pPr>
      <w:r>
        <w:rPr>
          <w:rFonts w:ascii="맑은 고딕" w:eastAsia="맑은 고딕"/>
          <w:b/>
          <w:color w:val="111111"/>
          <w:spacing w:val="114"/>
          <w:sz w:val="60"/>
        </w:rPr>
        <w:t>연구계획서(안)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60"/>
        </w:trPr>
        <w:tc>
          <w:tcPr>
            <w:tcW w:w="8504" w:type="dxa"/>
            <w:tcBorders>
              <w:top w:val="none" w:color="000000" w:sz="3"/>
              <w:left w:val="none" w:color="000000" w:sz="3"/>
              <w:bottom w:val="none" w:color="000000" w:sz="3"/>
              <w:right w:val="none" w:color="000000" w:sz="3"/>
            </w:tcBorders>
            <w:shd w:val="clear" w:fill="1f4e9c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sz w:val="20"/>
              </w:rPr>
              <w:t xml:space="preserve"> </w:t>
            </w:r>
          </w:p>
        </w:tc>
      </w:tr>
    </w:tbl>
    <w:p>
      <w:pPr>
        <w:pStyle w:val="0"/>
        <w:widowControl w:val="off"/>
        <w:spacing w:after="140" w:line="408"/>
        <w:jc w:val="center"/>
      </w:pP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sz w:val="52"/>
        </w:rPr>
        <w:t xml:space="preserve"> </w:t>
      </w: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b/>
          <w:sz w:val="28"/>
        </w:rPr>
        <w:t>2026. 7.</w:t>
      </w:r>
    </w:p>
    <w:p>
      <w:pPr>
        <w:pStyle w:val="0"/>
        <w:widowControl w:val="off"/>
        <w:spacing w:after="140" w:line="408"/>
        <w:jc w:val="center"/>
      </w:pPr>
      <w:r>
        <w:rPr>
          <w:rFonts w:ascii="맑은 고딕"/>
          <w:sz w:val="80"/>
        </w:rPr>
        <w:t xml:space="preserve"> </w:t>
      </w:r>
    </w:p>
    <w:p>
      <w:pPr>
        <w:pStyle w:val="0"/>
        <w:widowControl w:val="off"/>
        <w:spacing w:after="140" w:line="408"/>
        <w:jc w:val="center"/>
      </w:pPr>
      <w:r>
        <w:rPr>
          <w:rFonts w:eastAsia="맑은 고딕"/>
          <w:b/>
          <w:color w:val="333333"/>
          <w:sz w:val="26"/>
        </w:rPr>
        <w:t>한국주류산업협회</w:t>
      </w:r>
    </w:p>
    <w:tbl>
      <w:tblPr>
        <w:jc w:val="center"/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1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연구 배경 및 목적</w:t>
            </w:r>
          </w:p>
        </w:tc>
      </w:tr>
    </w:tbl>
    <w:p>
      <w:pPr>
        <w:pStyle w:val="0"/>
        <w:widowControl w:val="off"/>
        <w:spacing w:after="140" w:line="408"/>
        <w:jc w:val="center"/>
      </w:pP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color w:val="444444"/>
          <w:sz w:val="22"/>
        </w:rPr>
        <w:t xml:space="preserve">의뢰서 </w:t>
      </w:r>
      <w:r>
        <w:rPr>
          <w:rFonts w:ascii="맑은 고딕"/>
          <w:color w:val="444444"/>
          <w:sz w:val="22"/>
        </w:rPr>
        <w:t>「</w:t>
      </w:r>
      <w:r>
        <w:rPr>
          <w:rFonts w:ascii="맑은 고딕" w:eastAsia="맑은 고딕"/>
          <w:color w:val="444444"/>
          <w:sz w:val="22"/>
        </w:rPr>
        <w:t>1. 의뢰 배경</w:t>
      </w:r>
      <w:r>
        <w:rPr>
          <w:rFonts w:ascii="맑은 고딕" w:eastAsia="맑은 고딕"/>
          <w:color w:val="444444"/>
          <w:sz w:val="22"/>
        </w:rPr>
        <w:t>」에</w:t>
      </w:r>
      <w:r>
        <w:rPr>
          <w:rFonts w:ascii="맑은 고딕" w:eastAsia="맑은 고딕"/>
          <w:color w:val="444444"/>
          <w:sz w:val="22"/>
        </w:rPr>
        <w:t xml:space="preserve"> 대한 연구팀의 이해와, 이를 공개 데이터로 확인한 결과임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코로나19 이후 국내 주류산업은 음주문화 변화·인구구조 고령화·고물가에 따른 소비 위축이 겹치면서 </w:t>
      </w:r>
      <w:r>
        <w:rPr>
          <w:rFonts w:ascii="맑은 고딕" w:eastAsia="맑은 고딕"/>
          <w:b/>
          <w:color w:val="1a1a1a"/>
        </w:rPr>
        <w:t>지속적 수요 감소</w:t>
      </w:r>
      <w:r>
        <w:rPr>
          <w:rFonts w:ascii="맑은 고딕" w:eastAsia="맑은 고딕"/>
          <w:color w:val="1a1a1a"/>
        </w:rPr>
        <w:t>를 겪고 있으며, 단기 반등 가능성은 제한적임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- 전체 주류 출고량 </w:t>
      </w:r>
      <w:r>
        <w:rPr>
          <w:rFonts w:ascii="맑은 고딕" w:eastAsia="맑은 고딕"/>
          <w:b/>
          <w:color w:val="333333"/>
        </w:rPr>
        <w:t>2015년 376만</w:t>
      </w:r>
      <w:r>
        <w:rPr>
          <w:rFonts w:ascii="맑은 고딕"/>
          <w:b/>
          <w:color w:val="333333"/>
        </w:rPr>
        <w:t>㎘</w:t>
      </w:r>
      <w:r>
        <w:rPr>
          <w:rFonts w:ascii="맑은 고딕"/>
          <w:b/>
          <w:color w:val="333333"/>
        </w:rPr>
        <w:t xml:space="preserve"> </w:t>
      </w:r>
      <w:r>
        <w:rPr>
          <w:rFonts w:ascii="맑은 고딕"/>
          <w:b/>
          <w:color w:val="333333"/>
        </w:rPr>
        <w:t>→</w:t>
      </w:r>
      <w:r>
        <w:rPr>
          <w:rFonts w:ascii="맑은 고딕" w:eastAsia="맑은 고딕"/>
          <w:b/>
          <w:color w:val="333333"/>
        </w:rPr>
        <w:t xml:space="preserve"> 2024년 322만</w:t>
      </w:r>
      <w:r>
        <w:rPr>
          <w:rFonts w:ascii="맑은 고딕"/>
          <w:b/>
          <w:color w:val="333333"/>
        </w:rPr>
        <w:t>㎘</w:t>
      </w:r>
      <w:r>
        <w:rPr>
          <w:rFonts w:ascii="맑은 고딕" w:eastAsia="맑은 고딕"/>
          <w:color w:val="333333"/>
        </w:rPr>
        <w:t>로 약 14.2% 감소(국세청 국세통계)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- 가정용 주류지출이 가계 소비지출에서 차지하는 비중 </w:t>
      </w:r>
      <w:r>
        <w:rPr>
          <w:rFonts w:ascii="맑은 고딕" w:eastAsia="맑은 고딕"/>
          <w:b/>
          <w:color w:val="333333"/>
        </w:rPr>
        <w:t xml:space="preserve">2008년 1.54% </w:t>
      </w:r>
      <w:r>
        <w:rPr>
          <w:rFonts w:ascii="맑은 고딕"/>
          <w:b/>
          <w:color w:val="333333"/>
        </w:rPr>
        <w:t>→</w:t>
      </w:r>
      <w:r>
        <w:rPr>
          <w:rFonts w:ascii="맑은 고딕" w:eastAsia="맑은 고딕"/>
          <w:b/>
          <w:color w:val="333333"/>
        </w:rPr>
        <w:t xml:space="preserve"> 2024년 0.75%</w:t>
      </w:r>
      <w:r>
        <w:rPr>
          <w:rFonts w:ascii="맑은 고딕" w:eastAsia="맑은 고딕"/>
          <w:color w:val="333333"/>
        </w:rPr>
        <w:t>로 반감(재정패널)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주류산업의 위축은 제조업에 국한되지 않고 </w:t>
      </w:r>
      <w:r>
        <w:rPr>
          <w:rFonts w:ascii="맑은 고딕" w:eastAsia="맑은 고딕"/>
          <w:b/>
          <w:color w:val="1a1a1a"/>
        </w:rPr>
        <w:t>외식·유통·소매 등 연관산업과 동네 소상공인</w:t>
      </w:r>
      <w:r>
        <w:rPr>
          <w:rFonts w:ascii="맑은 고딕" w:eastAsia="맑은 고딕"/>
          <w:color w:val="1a1a1a"/>
        </w:rPr>
        <w:t>으로 파급됨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- 대표 업종인 </w:t>
      </w:r>
      <w:r>
        <w:rPr>
          <w:rFonts w:ascii="맑은 고딕" w:eastAsia="맑은 고딕"/>
          <w:b/>
          <w:color w:val="333333"/>
        </w:rPr>
        <w:t>호프주점 약 47%, 간이주점 약 52% 감소</w:t>
      </w:r>
      <w:r>
        <w:rPr>
          <w:rFonts w:ascii="맑은 고딕" w:eastAsia="맑은 고딕"/>
          <w:color w:val="333333"/>
        </w:rPr>
        <w:t>(사업자 수 기준, 예비분석)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>- 제조·유통·판매 종사자의 고용 안정성에도 부정적 영향 우려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협회는 소비자 부담 완화·소상공인 지원·주류 생태계 지속가능성 확보를 위해 다음 </w:t>
      </w:r>
      <w:r>
        <w:rPr>
          <w:rFonts w:ascii="맑은 고딕" w:eastAsia="맑은 고딕"/>
          <w:b/>
          <w:color w:val="1a1a1a"/>
        </w:rPr>
        <w:t>세 가지 세제지원</w:t>
      </w:r>
      <w:r>
        <w:rPr>
          <w:rFonts w:ascii="맑은 고딕" w:eastAsia="맑은 고딕"/>
          <w:color w:val="1a1a1a"/>
        </w:rPr>
        <w:t>을 정부에 건의할 예정임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/>
          <w:color w:val="333333"/>
        </w:rPr>
        <w:t xml:space="preserve">- </w:t>
      </w:r>
      <w:r>
        <w:rPr>
          <w:rFonts w:ascii="맑은 고딕"/>
          <w:color w:val="333333"/>
        </w:rPr>
        <w:t>①</w:t>
      </w:r>
      <w:r>
        <w:rPr>
          <w:rFonts w:ascii="맑은 고딕"/>
          <w:color w:val="333333"/>
        </w:rPr>
        <w:t xml:space="preserve"> </w:t>
      </w:r>
      <w:r>
        <w:rPr>
          <w:rFonts w:ascii="맑은 고딕" w:eastAsia="맑은 고딕"/>
          <w:b/>
          <w:color w:val="333333"/>
        </w:rPr>
        <w:t>종량세 주종 주세 인하</w:t>
      </w:r>
      <w:r>
        <w:rPr>
          <w:rFonts w:ascii="맑은 고딕"/>
          <w:color w:val="333333"/>
        </w:rPr>
        <w:t xml:space="preserve"> </w:t>
      </w:r>
      <w:r>
        <w:rPr>
          <w:rFonts w:ascii="맑은 고딕"/>
          <w:color w:val="333333"/>
        </w:rPr>
        <w:t>—</w:t>
      </w:r>
      <w:r>
        <w:rPr>
          <w:rFonts w:ascii="맑은 고딕" w:eastAsia="맑은 고딕"/>
          <w:color w:val="333333"/>
        </w:rPr>
        <w:t xml:space="preserve"> 맥주 주세의 합리적 수준 도출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/>
          <w:color w:val="333333"/>
        </w:rPr>
        <w:t xml:space="preserve">- </w:t>
      </w:r>
      <w:r>
        <w:rPr>
          <w:rFonts w:ascii="맑은 고딕"/>
          <w:color w:val="333333"/>
        </w:rPr>
        <w:t>②</w:t>
      </w:r>
      <w:r>
        <w:rPr>
          <w:rFonts w:ascii="맑은 고딕"/>
          <w:color w:val="333333"/>
        </w:rPr>
        <w:t xml:space="preserve"> </w:t>
      </w:r>
      <w:r>
        <w:rPr>
          <w:rFonts w:ascii="맑은 고딕" w:eastAsia="맑은 고딕"/>
          <w:b/>
          <w:color w:val="333333"/>
        </w:rPr>
        <w:t>종가세 주종 기준판매비율 확대</w:t>
      </w:r>
      <w:r>
        <w:rPr>
          <w:rFonts w:ascii="맑은 고딕"/>
          <w:color w:val="333333"/>
        </w:rPr>
        <w:t xml:space="preserve"> </w:t>
      </w:r>
      <w:r>
        <w:rPr>
          <w:rFonts w:ascii="맑은 고딕"/>
          <w:color w:val="333333"/>
        </w:rPr>
        <w:t>—</w:t>
      </w:r>
      <w:r>
        <w:rPr>
          <w:rFonts w:ascii="맑은 고딕" w:eastAsia="맑은 고딕"/>
          <w:color w:val="333333"/>
        </w:rPr>
        <w:t xml:space="preserve"> 소주 등 세부담 경감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/>
          <w:color w:val="333333"/>
        </w:rPr>
        <w:t xml:space="preserve">- </w:t>
      </w:r>
      <w:r>
        <w:rPr>
          <w:rFonts w:ascii="맑은 고딕"/>
          <w:color w:val="333333"/>
        </w:rPr>
        <w:t>③</w:t>
      </w:r>
      <w:r>
        <w:rPr>
          <w:rFonts w:ascii="맑은 고딕"/>
          <w:color w:val="333333"/>
        </w:rPr>
        <w:t xml:space="preserve"> </w:t>
      </w:r>
      <w:r>
        <w:rPr>
          <w:rFonts w:ascii="맑은 고딕" w:eastAsia="맑은 고딕"/>
          <w:b/>
          <w:color w:val="333333"/>
        </w:rPr>
        <w:t>교육세율 합리적 조정</w:t>
      </w:r>
      <w:r>
        <w:rPr>
          <w:rFonts w:ascii="맑은 고딕"/>
          <w:color w:val="333333"/>
        </w:rPr>
        <w:t xml:space="preserve"> </w:t>
      </w:r>
      <w:r>
        <w:rPr>
          <w:rFonts w:ascii="맑은 고딕"/>
          <w:color w:val="333333"/>
        </w:rPr>
        <w:t>—</w:t>
      </w:r>
      <w:r>
        <w:rPr>
          <w:rFonts w:ascii="맑은 고딕" w:eastAsia="맑은 고딕"/>
          <w:color w:val="333333"/>
        </w:rPr>
        <w:t xml:space="preserve"> 주종별 10~30% </w:t>
      </w:r>
      <w:r>
        <w:rPr>
          <w:rFonts w:ascii="맑은 고딕"/>
          <w:color w:val="333333"/>
        </w:rPr>
        <w:t>→</w:t>
      </w:r>
      <w:r>
        <w:rPr>
          <w:rFonts w:ascii="맑은 고딕" w:eastAsia="맑은 고딕"/>
          <w:color w:val="333333"/>
        </w:rPr>
        <w:t xml:space="preserve"> 10%로 통일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본 연구는 건의에 앞서 세제 합리화가 </w:t>
      </w:r>
      <w:r>
        <w:rPr>
          <w:rFonts w:ascii="맑은 고딕" w:eastAsia="맑은 고딕"/>
          <w:b/>
          <w:color w:val="173a75"/>
          <w:u w:val="single"/>
        </w:rPr>
        <w:t>물가·서민경제·연관산업에 미치는 기대효과를 실증적으로 선제 규명</w:t>
      </w:r>
      <w:r>
        <w:rPr>
          <w:rFonts w:ascii="맑은 고딕" w:eastAsia="맑은 고딕"/>
          <w:color w:val="1a1a1a"/>
        </w:rPr>
        <w:t>함을 목적으로 함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2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 xml:space="preserve">연구 가설 </w:t>
            </w:r>
            <w:r>
              <w:rPr>
                <w:rFonts w:ascii="맑은 고딕"/>
                <w:b/>
                <w:color w:val="111111"/>
                <w:sz w:val="32"/>
              </w:rPr>
              <w:t>—</w:t>
            </w:r>
            <w:r>
              <w:rPr>
                <w:rFonts w:ascii="맑은 고딕" w:eastAsia="맑은 고딕"/>
                <w:b/>
                <w:color w:val="111111"/>
                <w:sz w:val="32"/>
              </w:rPr>
              <w:t xml:space="preserve"> 세 개의 질문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color w:val="444444"/>
          <w:sz w:val="22"/>
        </w:rPr>
        <w:t xml:space="preserve">의뢰서의 연구내용을 관통하는 세 개의 인과 질문으로 구조화함. </w:t>
      </w:r>
      <w:r>
        <w:rPr>
          <w:rFonts w:ascii="맑은 고딕" w:eastAsia="맑은 고딕"/>
          <w:b/>
          <w:color w:val="444444"/>
          <w:sz w:val="22"/>
        </w:rPr>
        <w:t xml:space="preserve">세제 </w:t>
      </w:r>
      <w:r>
        <w:rPr>
          <w:rFonts w:ascii="맑은 고딕"/>
          <w:b/>
          <w:color w:val="444444"/>
          <w:sz w:val="22"/>
        </w:rPr>
        <w:t>→</w:t>
      </w:r>
      <w:r>
        <w:rPr>
          <w:rFonts w:ascii="맑은 고딕" w:eastAsia="맑은 고딕"/>
          <w:b/>
          <w:color w:val="444444"/>
          <w:sz w:val="22"/>
        </w:rPr>
        <w:t xml:space="preserve"> 출고가 </w:t>
      </w:r>
      <w:r>
        <w:rPr>
          <w:rFonts w:ascii="맑은 고딕"/>
          <w:b/>
          <w:color w:val="444444"/>
          <w:sz w:val="22"/>
        </w:rPr>
        <w:t>→</w:t>
      </w:r>
      <w:r>
        <w:rPr>
          <w:rFonts w:ascii="맑은 고딕" w:eastAsia="맑은 고딕"/>
          <w:b/>
          <w:color w:val="444444"/>
          <w:sz w:val="22"/>
        </w:rPr>
        <w:t xml:space="preserve"> 소비자가(H1) </w:t>
      </w:r>
      <w:r>
        <w:rPr>
          <w:rFonts w:ascii="맑은 고딕"/>
          <w:b/>
          <w:color w:val="444444"/>
          <w:sz w:val="22"/>
        </w:rPr>
        <w:t>→</w:t>
      </w:r>
      <w:r>
        <w:rPr>
          <w:rFonts w:ascii="맑은 고딕" w:eastAsia="맑은 고딕"/>
          <w:b/>
          <w:color w:val="444444"/>
          <w:sz w:val="22"/>
        </w:rPr>
        <w:t xml:space="preserve"> 매출(H2) </w:t>
      </w:r>
      <w:r>
        <w:rPr>
          <w:rFonts w:ascii="맑은 고딕"/>
          <w:b/>
          <w:color w:val="444444"/>
          <w:sz w:val="22"/>
        </w:rPr>
        <w:t>→</w:t>
      </w:r>
      <w:r>
        <w:rPr>
          <w:rFonts w:ascii="맑은 고딕" w:eastAsia="맑은 고딕"/>
          <w:b/>
          <w:color w:val="444444"/>
          <w:sz w:val="22"/>
        </w:rPr>
        <w:t xml:space="preserve"> 세수(H3)</w:t>
      </w:r>
      <w:r>
        <w:rPr>
          <w:rFonts w:ascii="맑은 고딕" w:eastAsia="맑은 고딕"/>
          <w:color w:val="444444"/>
          <w:sz w:val="22"/>
        </w:rPr>
        <w:t>의 한 흐름이며, 연관산업(음식점업) 효과와 소득분위별 탄력성은 H2에서 살핌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b/>
          <w:color w:val="1a1a1a"/>
        </w:rPr>
        <w:t>H1 (가격)</w:t>
      </w:r>
      <w:r>
        <w:rPr>
          <w:rFonts w:ascii="맑은 고딕" w:eastAsia="맑은 고딕"/>
          <w:color w:val="1a1a1a"/>
        </w:rPr>
        <w:t xml:space="preserve"> : 세제 변화가 </w:t>
      </w:r>
      <w:r>
        <w:rPr>
          <w:rFonts w:ascii="맑은 고딕" w:eastAsia="맑은 고딕"/>
          <w:b/>
          <w:color w:val="1a1a1a"/>
        </w:rPr>
        <w:t xml:space="preserve">출고가 </w:t>
      </w:r>
      <w:r>
        <w:rPr>
          <w:rFonts w:ascii="맑은 고딕"/>
          <w:b/>
          <w:color w:val="1a1a1a"/>
        </w:rPr>
        <w:t>→</w:t>
      </w:r>
      <w:r>
        <w:rPr>
          <w:rFonts w:ascii="맑은 고딕" w:eastAsia="맑은 고딕"/>
          <w:b/>
          <w:color w:val="1a1a1a"/>
        </w:rPr>
        <w:t xml:space="preserve"> 소비자가</w:t>
      </w:r>
      <w:r>
        <w:rPr>
          <w:rFonts w:ascii="맑은 고딕" w:eastAsia="맑은 고딕"/>
          <w:color w:val="1a1a1a"/>
        </w:rPr>
        <w:t>로 얼마나 옮겨지는가(전가)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b/>
          <w:color w:val="1a1a1a"/>
        </w:rPr>
        <w:t>H2 (매출)</w:t>
      </w:r>
      <w:r>
        <w:rPr>
          <w:rFonts w:ascii="맑은 고딕" w:eastAsia="맑은 고딕"/>
          <w:color w:val="1a1a1a"/>
        </w:rPr>
        <w:t xml:space="preserve"> : 소비자가 변화가 </w:t>
      </w:r>
      <w:r>
        <w:rPr>
          <w:rFonts w:ascii="맑은 고딕" w:eastAsia="맑은 고딕"/>
          <w:b/>
          <w:color w:val="1a1a1a"/>
        </w:rPr>
        <w:t>판매 수량·매출</w:t>
      </w:r>
      <w:r>
        <w:rPr>
          <w:rFonts w:ascii="맑은 고딕" w:eastAsia="맑은 고딕"/>
          <w:color w:val="1a1a1a"/>
        </w:rPr>
        <w:t xml:space="preserve">로 어떻게 이어지는가 </w:t>
      </w:r>
      <w:r>
        <w:rPr>
          <w:rFonts w:ascii="맑은 고딕"/>
          <w:color w:val="1a1a1a"/>
        </w:rPr>
        <w:t>—</w:t>
      </w:r>
      <w:r>
        <w:rPr>
          <w:rFonts w:ascii="맑은 고딕"/>
          <w:color w:val="1a1a1a"/>
        </w:rPr>
        <w:t xml:space="preserve"> </w:t>
      </w:r>
      <w:r>
        <w:rPr>
          <w:rFonts w:ascii="맑은 고딕" w:eastAsia="맑은 고딕"/>
          <w:b/>
          <w:color w:val="1a1a1a"/>
        </w:rPr>
        <w:t>가격탄력성을 소득분위별로 추정</w:t>
      </w:r>
      <w:r>
        <w:rPr>
          <w:rFonts w:ascii="맑은 고딕" w:eastAsia="맑은 고딕"/>
          <w:color w:val="1a1a1a"/>
        </w:rPr>
        <w:t xml:space="preserve">하고, </w:t>
      </w:r>
      <w:r>
        <w:rPr>
          <w:rFonts w:ascii="맑은 고딕" w:eastAsia="맑은 고딕"/>
          <w:b/>
          <w:color w:val="1a1a1a"/>
        </w:rPr>
        <w:t>연관산업(음식점업)</w:t>
      </w:r>
      <w:r>
        <w:rPr>
          <w:rFonts w:ascii="맑은 고딕" w:eastAsia="맑은 고딕"/>
          <w:color w:val="1a1a1a"/>
        </w:rPr>
        <w:t xml:space="preserve"> 효과까지 살핌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b/>
          <w:color w:val="1a1a1a"/>
        </w:rPr>
        <w:t>H3 (세수)</w:t>
      </w:r>
      <w:r>
        <w:rPr>
          <w:rFonts w:ascii="맑은 고딕" w:eastAsia="맑은 고딕"/>
          <w:color w:val="1a1a1a"/>
        </w:rPr>
        <w:t xml:space="preserve"> : 세제 변화가 </w:t>
      </w:r>
      <w:r>
        <w:rPr>
          <w:rFonts w:ascii="맑은 고딕" w:eastAsia="맑은 고딕"/>
          <w:b/>
          <w:color w:val="1a1a1a"/>
        </w:rPr>
        <w:t>세수에 미치는 순효과</w:t>
      </w:r>
      <w:r>
        <w:rPr>
          <w:rFonts w:ascii="맑은 고딕" w:eastAsia="맑은 고딕"/>
          <w:color w:val="1a1a1a"/>
        </w:rPr>
        <w:t>는 얼마이며, 매출 회복으로 어느 정도 상쇄되는가</w:t>
      </w: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11111"/>
          <w:sz w:val="22"/>
        </w:rPr>
        <w:t>표 1. 세 가설과 의뢰서 연구내용의 대응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sz w:val="20"/>
              </w:rPr>
              <w:t>가설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핵심 질문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대응 연구내용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sz w:val="20"/>
              </w:rPr>
              <w:t>H1</w:t>
            </w:r>
            <w:r>
              <w:br/>
              <w:rPr>
                <w:rFonts w:eastAsia="맑은 고딕"/>
                <w:sz w:val="20"/>
              </w:rPr>
              <w:t>가격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세제 변화가 출고가·소비자가로 얼마나 전가되는가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주 연구내용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sz w:val="20"/>
              </w:rPr>
              <w:t>H2</w:t>
            </w:r>
            <w:r>
              <w:br/>
              <w:rPr>
                <w:rFonts w:eastAsia="맑은 고딕"/>
                <w:sz w:val="20"/>
              </w:rPr>
              <w:t>매출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 xml:space="preserve">소비자가 변화가 매출로 어떻게 이어지는가 </w:t>
            </w:r>
            <w:r>
              <w:rPr>
                <w:rFonts w:ascii="맑은 고딕"/>
                <w:sz w:val="20"/>
              </w:rPr>
              <w:t>—</w:t>
            </w:r>
            <w:r>
              <w:rPr>
                <w:rFonts w:ascii="맑은 고딕" w:eastAsia="맑은 고딕"/>
                <w:sz w:val="20"/>
              </w:rPr>
              <w:t xml:space="preserve"> 탄력성(소득분위별)·연관산업(음식점) 효과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주·보조</w:t>
            </w:r>
            <w:r>
              <w:rPr>
                <w:rFonts w:ascii="맑은 고딕"/>
                <w:sz w:val="20"/>
              </w:rPr>
              <w:t>①</w:t>
            </w:r>
            <w:r>
              <w:rPr>
                <w:rFonts w:ascii="맑은 고딕" w:eastAsia="맑은 고딕"/>
                <w:sz w:val="20"/>
              </w:rPr>
              <w:t xml:space="preserve"> 연구내용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sz w:val="20"/>
              </w:rPr>
              <w:t>H3</w:t>
            </w:r>
            <w:r>
              <w:br/>
              <w:rPr>
                <w:rFonts w:eastAsia="맑은 고딕"/>
                <w:sz w:val="20"/>
              </w:rPr>
              <w:t>세수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세제 변화의 세수 순효과는 얼마인가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보조②</w:t>
            </w:r>
            <w:r>
              <w:rPr>
                <w:rFonts w:ascii="맑은 고딕" w:eastAsia="맑은 고딕"/>
                <w:sz w:val="20"/>
              </w:rPr>
              <w:t xml:space="preserve"> 연구내용</w:t>
            </w:r>
          </w:p>
        </w:tc>
      </w:tr>
    </w:tbl>
    <w:p>
      <w:pPr>
        <w:pStyle w:val="0"/>
        <w:widowControl w:val="off"/>
        <w:spacing w:after="140" w:line="408"/>
      </w:pP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세 가설은 한 줄로 이어짐 </w:t>
      </w:r>
      <w:r>
        <w:rPr>
          <w:rFonts w:ascii="맑은 고딕"/>
          <w:color w:val="1a1a1a"/>
        </w:rPr>
        <w:t>—</w:t>
      </w:r>
      <w:r>
        <w:rPr>
          <w:rFonts w:ascii="맑은 고딕"/>
          <w:color w:val="1a1a1a"/>
        </w:rPr>
        <w:t xml:space="preserve"> </w:t>
      </w:r>
      <w:r>
        <w:rPr>
          <w:rFonts w:ascii="맑은 고딕" w:eastAsia="맑은 고딕"/>
          <w:b/>
          <w:color w:val="1a1a1a"/>
        </w:rPr>
        <w:t>H1의 전가율</w:t>
      </w:r>
      <w:r>
        <w:rPr>
          <w:rFonts w:ascii="맑은 고딕" w:eastAsia="맑은 고딕"/>
          <w:color w:val="1a1a1a"/>
        </w:rPr>
        <w:t xml:space="preserve">이 H2의 소비자가 변화 입력이 되고, </w:t>
      </w:r>
      <w:r>
        <w:rPr>
          <w:rFonts w:ascii="맑은 고딕" w:eastAsia="맑은 고딕"/>
          <w:b/>
          <w:color w:val="1a1a1a"/>
        </w:rPr>
        <w:t>H2의 탄력성</w:t>
      </w:r>
      <w:r>
        <w:rPr>
          <w:rFonts w:ascii="맑은 고딕" w:eastAsia="맑은 고딕"/>
          <w:color w:val="1a1a1a"/>
        </w:rPr>
        <w:t>이 H3 세수 시뮬레이션의 입력이 됨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3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가설별 근거 및 예비분석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color w:val="444444"/>
          <w:sz w:val="22"/>
        </w:rPr>
        <w:t xml:space="preserve">각 가설을 </w:t>
      </w:r>
      <w:r>
        <w:rPr>
          <w:rFonts w:ascii="맑은 고딕" w:eastAsia="맑은 고딕"/>
          <w:color w:val="444444"/>
          <w:sz w:val="22"/>
        </w:rPr>
        <w:t>「선행연구</w:t>
      </w:r>
      <w:r>
        <w:rPr>
          <w:rFonts w:ascii="맑은 고딕" w:eastAsia="맑은 고딕"/>
          <w:color w:val="444444"/>
          <w:sz w:val="22"/>
        </w:rPr>
        <w:t xml:space="preserve">·뉴스 </w:t>
      </w:r>
      <w:r>
        <w:rPr>
          <w:rFonts w:ascii="맑은 고딕"/>
          <w:color w:val="444444"/>
          <w:sz w:val="22"/>
        </w:rPr>
        <w:t>→</w:t>
      </w:r>
      <w:r>
        <w:rPr>
          <w:rFonts w:ascii="맑은 고딕" w:eastAsia="맑은 고딕"/>
          <w:color w:val="444444"/>
          <w:sz w:val="22"/>
        </w:rPr>
        <w:t xml:space="preserve"> 예비분석으로 확인한 것 </w:t>
      </w:r>
      <w:r>
        <w:rPr>
          <w:rFonts w:ascii="맑은 고딕"/>
          <w:color w:val="444444"/>
          <w:sz w:val="22"/>
        </w:rPr>
        <w:t>→</w:t>
      </w:r>
      <w:r>
        <w:rPr>
          <w:rFonts w:ascii="맑은 고딕" w:eastAsia="맑은 고딕"/>
          <w:color w:val="444444"/>
          <w:sz w:val="22"/>
        </w:rPr>
        <w:t xml:space="preserve"> 본 연구에서 정밀 검증할 것</w:t>
      </w:r>
      <w:r>
        <w:rPr>
          <w:rFonts w:ascii="맑은 고딕"/>
          <w:color w:val="444444"/>
          <w:sz w:val="22"/>
        </w:rPr>
        <w:t>」</w:t>
      </w:r>
      <w:r>
        <w:rPr>
          <w:rFonts w:ascii="맑은 고딕" w:eastAsia="맑은 고딕"/>
          <w:color w:val="444444"/>
          <w:sz w:val="22"/>
        </w:rPr>
        <w:t xml:space="preserve"> 순으로 정리함</w:t>
      </w:r>
    </w:p>
    <w:p>
      <w:pPr>
        <w:pStyle w:val="0"/>
        <w:widowControl w:val="off"/>
        <w:spacing w:after="140" w:line="408"/>
      </w:pPr>
      <w:r>
        <w:rPr>
          <w:rFonts w:ascii="맑은 고딕"/>
          <w:b/>
          <w:color w:val="1f4e9c"/>
          <w:sz w:val="24"/>
        </w:rPr>
        <w:t>❐</w:t>
      </w:r>
      <w:r>
        <w:rPr>
          <w:rFonts w:ascii="맑은 고딕" w:eastAsia="맑은 고딕"/>
          <w:b/>
          <w:color w:val="1f4e9c"/>
          <w:sz w:val="24"/>
        </w:rPr>
        <w:t xml:space="preserve"> H1 · 가격 (세제 </w:t>
      </w:r>
      <w:r>
        <w:rPr>
          <w:rFonts w:ascii="맑은 고딕"/>
          <w:b/>
          <w:color w:val="1f4e9c"/>
          <w:sz w:val="24"/>
        </w:rPr>
        <w:t>→</w:t>
      </w:r>
      <w:r>
        <w:rPr>
          <w:rFonts w:ascii="맑은 고딕" w:eastAsia="맑은 고딕"/>
          <w:b/>
          <w:color w:val="1f4e9c"/>
          <w:sz w:val="24"/>
        </w:rPr>
        <w:t xml:space="preserve"> 출고가 </w:t>
      </w:r>
      <w:r>
        <w:rPr>
          <w:rFonts w:ascii="맑은 고딕"/>
          <w:b/>
          <w:color w:val="1f4e9c"/>
          <w:sz w:val="24"/>
        </w:rPr>
        <w:t>→</w:t>
      </w:r>
      <w:r>
        <w:rPr>
          <w:rFonts w:ascii="맑은 고딕" w:eastAsia="맑은 고딕"/>
          <w:b/>
          <w:color w:val="1f4e9c"/>
          <w:sz w:val="24"/>
        </w:rPr>
        <w:t xml:space="preserve"> 소비자가)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선행연구는 주류 세금이 대체로 </w:t>
      </w:r>
      <w:r>
        <w:rPr>
          <w:rFonts w:ascii="맑은 고딕" w:eastAsia="맑은 고딕"/>
          <w:b/>
          <w:color w:val="1a1a1a"/>
        </w:rPr>
        <w:t>완전전가 이상(과대전가)</w:t>
      </w:r>
      <w:r>
        <w:rPr>
          <w:rFonts w:ascii="맑은 고딕" w:eastAsia="맑은 고딕"/>
          <w:color w:val="1a1a1a"/>
        </w:rPr>
        <w:t>으로 나타나며, 특히 맥주에서 그 경향이 강함을 보고함(Nelson &amp; Moran, 2020; Shang et al., 2020)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>* 다만 과점시장에서는 감세분 일부를 기업이 흡수할 수 있다는 실증도 존재(Miravete et al., 2018)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>* 국내에서도 종량세 전환의 세수·소비·소매가격 영향을 분석한 연구가 있음(이준규·송은주, 2018; 이기환, 2025)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예비분석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전가의 실체를 </w:t>
      </w:r>
      <w:r>
        <w:rPr>
          <w:rFonts w:ascii="맑은 고딕" w:eastAsia="맑은 고딕"/>
          <w:b/>
          <w:color w:val="1a1a1a"/>
        </w:rPr>
        <w:t>국세청(세무신고)과 식약처(주류 판매실적)</w:t>
      </w:r>
      <w:r>
        <w:rPr>
          <w:rFonts w:ascii="맑은 고딕" w:eastAsia="맑은 고딕"/>
          <w:color w:val="1a1a1a"/>
        </w:rPr>
        <w:t xml:space="preserve"> 두 독립 자료로 교차검증함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- 소주 세전출고가 비율이 2018~2022년 0.99~1.05로 일치, </w:t>
      </w:r>
      <w:r>
        <w:rPr>
          <w:rFonts w:ascii="맑은 고딕" w:eastAsia="맑은 고딕"/>
          <w:b/>
          <w:color w:val="333333"/>
        </w:rPr>
        <w:t>2024년 0.796으로 하락</w:t>
      </w:r>
      <w:r>
        <w:rPr>
          <w:rFonts w:ascii="맑은 고딕" w:eastAsia="맑은 고딕"/>
          <w:color w:val="333333"/>
        </w:rPr>
        <w:t>, 기준판매비율 이론값(0.78)과 오차 2%로 부합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- 2024년 소주 원가는 약 12.9% 상승했으나 세부담 13.0% 경감으로 상쇄되어 </w:t>
      </w:r>
      <w:r>
        <w:rPr>
          <w:rFonts w:ascii="맑은 고딕" w:eastAsia="맑은 고딕"/>
          <w:b/>
          <w:color w:val="333333"/>
        </w:rPr>
        <w:t>소비자가는 0.3%만 상승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본 연구에서 정밀 검증할 것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>- 세제가 바뀐 해와 바뀌지 않은 주종을 서로 견주어, 세금이 내린 만큼 값이 얼마나 내렸는지(순수 전가율)를 가려냄</w:t>
      </w:r>
    </w:p>
    <w:p>
      <w:pPr>
        <w:pStyle w:val="0"/>
        <w:widowControl w:val="off"/>
        <w:spacing w:after="140" w:line="408"/>
      </w:pPr>
      <w:r>
        <w:rPr>
          <w:rFonts w:ascii="맑은 고딕"/>
          <w:b/>
          <w:color w:val="1f4e9c"/>
          <w:sz w:val="24"/>
        </w:rPr>
        <w:t>❐</w:t>
      </w:r>
      <w:r>
        <w:rPr>
          <w:rFonts w:ascii="맑은 고딕" w:eastAsia="맑은 고딕"/>
          <w:b/>
          <w:color w:val="1f4e9c"/>
          <w:sz w:val="24"/>
        </w:rPr>
        <w:t xml:space="preserve"> H2 · 매출 (소비자가 </w:t>
      </w:r>
      <w:r>
        <w:rPr>
          <w:rFonts w:ascii="맑은 고딕"/>
          <w:b/>
          <w:color w:val="1f4e9c"/>
          <w:sz w:val="24"/>
        </w:rPr>
        <w:t>→</w:t>
      </w:r>
      <w:r>
        <w:rPr>
          <w:rFonts w:ascii="맑은 고딕" w:eastAsia="맑은 고딕"/>
          <w:b/>
          <w:color w:val="1f4e9c"/>
          <w:sz w:val="24"/>
        </w:rPr>
        <w:t xml:space="preserve"> 매출, 연관산업·소득분위)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가격탄력성 표준 메타분석은 </w:t>
      </w:r>
      <w:r>
        <w:rPr>
          <w:rFonts w:ascii="맑은 고딕" w:eastAsia="맑은 고딕"/>
          <w:b/>
          <w:color w:val="1a1a1a"/>
        </w:rPr>
        <w:t xml:space="preserve">맥주 </w:t>
      </w:r>
      <w:r>
        <w:rPr>
          <w:rFonts w:ascii="맑은 고딕"/>
          <w:b/>
          <w:color w:val="1a1a1a"/>
        </w:rPr>
        <w:t>−</w:t>
      </w:r>
      <w:r>
        <w:rPr>
          <w:rFonts w:ascii="맑은 고딕" w:eastAsia="맑은 고딕"/>
          <w:b/>
          <w:color w:val="1a1a1a"/>
        </w:rPr>
        <w:t xml:space="preserve">0.46, 증류주 </w:t>
      </w:r>
      <w:r>
        <w:rPr>
          <w:rFonts w:ascii="맑은 고딕"/>
          <w:b/>
          <w:color w:val="1a1a1a"/>
        </w:rPr>
        <w:t>−</w:t>
      </w:r>
      <w:r>
        <w:rPr>
          <w:rFonts w:ascii="맑은 고딕" w:eastAsia="맑은 고딕"/>
          <w:b/>
          <w:color w:val="1a1a1a"/>
        </w:rPr>
        <w:t xml:space="preserve">0.80, 전체 </w:t>
      </w:r>
      <w:r>
        <w:rPr>
          <w:rFonts w:ascii="맑은 고딕"/>
          <w:b/>
          <w:color w:val="1a1a1a"/>
        </w:rPr>
        <w:t>−</w:t>
      </w:r>
      <w:r>
        <w:rPr>
          <w:rFonts w:ascii="맑은 고딕"/>
          <w:b/>
          <w:color w:val="1a1a1a"/>
        </w:rPr>
        <w:t>0.51</w:t>
      </w:r>
      <w:r>
        <w:rPr>
          <w:rFonts w:ascii="맑은 고딕" w:eastAsia="맑은 고딕"/>
          <w:color w:val="1a1a1a"/>
        </w:rPr>
        <w:t xml:space="preserve"> 수준으로, 맥주가 가장 비탄력적임을 보고함(Wagenaar et al., 2009)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예비분석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국내 자료 기준 </w:t>
      </w:r>
      <w:r>
        <w:rPr>
          <w:rFonts w:ascii="맑은 고딕" w:eastAsia="맑은 고딕"/>
          <w:b/>
          <w:color w:val="1a1a1a"/>
        </w:rPr>
        <w:t xml:space="preserve">주종 간 가격탄력성 약 </w:t>
      </w:r>
      <w:r>
        <w:rPr>
          <w:rFonts w:ascii="맑은 고딕"/>
          <w:b/>
          <w:color w:val="1a1a1a"/>
        </w:rPr>
        <w:t>−</w:t>
      </w:r>
      <w:r>
        <w:rPr>
          <w:rFonts w:ascii="맑은 고딕"/>
          <w:b/>
          <w:color w:val="1a1a1a"/>
        </w:rPr>
        <w:t>0.26</w:t>
      </w:r>
      <w:r>
        <w:rPr>
          <w:rFonts w:ascii="맑은 고딕" w:eastAsia="맑은 고딕"/>
          <w:color w:val="1a1a1a"/>
        </w:rPr>
        <w:t xml:space="preserve">, 소득탄력성 </w:t>
      </w:r>
      <w:r>
        <w:rPr>
          <w:rFonts w:ascii="맑은 고딕"/>
          <w:b/>
          <w:color w:val="1a1a1a"/>
        </w:rPr>
        <w:t>+0.15~0.30</w:t>
      </w:r>
      <w:r>
        <w:rPr>
          <w:rFonts w:ascii="맑은 고딕" w:eastAsia="맑은 고딕"/>
          <w:color w:val="1a1a1a"/>
        </w:rPr>
        <w:t>으로 추정되어, 값이 내리면 수량·매출이 완만하게 늘어남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예비분석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재정패널에서 소득분위별 </w:t>
      </w:r>
      <w:r>
        <w:rPr>
          <w:rFonts w:ascii="맑은 고딕" w:eastAsia="맑은 고딕"/>
          <w:b/>
          <w:color w:val="1a1a1a"/>
        </w:rPr>
        <w:t>가정용 주류 세부담은 중산층에서 가장 무거운 역U자</w:t>
      </w:r>
      <w:r>
        <w:rPr>
          <w:rFonts w:ascii="맑은 고딕" w:eastAsia="맑은 고딕"/>
          <w:color w:val="1a1a1a"/>
        </w:rPr>
        <w:t xml:space="preserve"> 구조로 관찰됨(가정용 기준의 한계는 명시)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술은 식당·주점에서 팔리므로, 가격·수량 변화는 특히 </w:t>
      </w:r>
      <w:r>
        <w:rPr>
          <w:rFonts w:ascii="맑은 고딕" w:eastAsia="맑은 고딕"/>
          <w:b/>
          <w:color w:val="1a1a1a"/>
        </w:rPr>
        <w:t>주류를 파는 음식점업 매출</w:t>
      </w:r>
      <w:r>
        <w:rPr>
          <w:rFonts w:ascii="맑은 고딕" w:eastAsia="맑은 고딕"/>
          <w:color w:val="1a1a1a"/>
        </w:rPr>
        <w:t xml:space="preserve">로 이어짐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소상공인 매출의 첫 마디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본 연구에서 정밀 검증할 것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- 주종별 수요함수로 </w:t>
      </w:r>
      <w:r>
        <w:rPr>
          <w:rFonts w:ascii="맑은 고딕" w:eastAsia="맑은 고딕"/>
          <w:b/>
          <w:color w:val="333333"/>
        </w:rPr>
        <w:t>수량·매출 변화</w:t>
      </w:r>
      <w:r>
        <w:rPr>
          <w:rFonts w:ascii="맑은 고딕" w:eastAsia="맑은 고딕"/>
          <w:color w:val="333333"/>
        </w:rPr>
        <w:t xml:space="preserve">를 추정 </w:t>
      </w:r>
      <w:r>
        <w:rPr>
          <w:rFonts w:ascii="맑은 고딕"/>
          <w:color w:val="333333"/>
        </w:rPr>
        <w:t>—</w:t>
      </w:r>
      <w:r>
        <w:rPr>
          <w:rFonts w:ascii="맑은 고딕"/>
          <w:color w:val="333333"/>
        </w:rPr>
        <w:t xml:space="preserve"> </w:t>
      </w:r>
      <w:r>
        <w:rPr>
          <w:rFonts w:ascii="맑은 고딕" w:eastAsia="맑은 고딕"/>
          <w:b/>
          <w:color w:val="333333"/>
        </w:rPr>
        <w:t>재정패널 가구 지출에 주종별 CPI·대표제품 가격(DART)을 가격변수로 결합</w:t>
      </w:r>
      <w:r>
        <w:rPr>
          <w:rFonts w:ascii="맑은 고딕" w:eastAsia="맑은 고딕"/>
          <w:color w:val="333333"/>
        </w:rPr>
        <w:t>해 소득분위별 탄력성 산출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/>
          <w:color w:val="333333"/>
        </w:rPr>
        <w:t xml:space="preserve">- </w:t>
      </w:r>
      <w:r>
        <w:rPr>
          <w:rFonts w:ascii="맑은 고딕" w:eastAsia="맑은 고딕"/>
          <w:b/>
          <w:color w:val="333333"/>
        </w:rPr>
        <w:t>연관산업(음식점) 효과</w:t>
      </w:r>
      <w:r>
        <w:rPr>
          <w:rFonts w:ascii="맑은 고딕"/>
          <w:color w:val="333333"/>
        </w:rPr>
        <w:t xml:space="preserve"> </w:t>
      </w:r>
      <w:r>
        <w:rPr>
          <w:rFonts w:ascii="맑은 고딕"/>
          <w:color w:val="333333"/>
        </w:rPr>
        <w:t>—</w:t>
      </w:r>
      <w:r>
        <w:rPr>
          <w:rFonts w:ascii="맑은 고딕" w:eastAsia="맑은 고딕"/>
          <w:color w:val="333333"/>
        </w:rPr>
        <w:t xml:space="preserve"> 소매 CPI와 외식 CPI를 나눠 가격 파급을 비교하고, 음식점업 사업자 수·매출 지표와 연계</w:t>
      </w:r>
    </w:p>
    <w:p>
      <w:pPr>
        <w:pStyle w:val="0"/>
        <w:widowControl w:val="off"/>
        <w:spacing w:after="140" w:line="408"/>
      </w:pPr>
      <w:r>
        <w:rPr>
          <w:rFonts w:ascii="맑은 고딕"/>
          <w:b/>
          <w:color w:val="1f4e9c"/>
          <w:sz w:val="24"/>
        </w:rPr>
        <w:t>❐</w:t>
      </w:r>
      <w:r>
        <w:rPr>
          <w:rFonts w:ascii="맑은 고딕" w:eastAsia="맑은 고딕"/>
          <w:b/>
          <w:color w:val="1f4e9c"/>
          <w:sz w:val="24"/>
        </w:rPr>
        <w:t xml:space="preserve"> H3 · 세수 (연관산업·소득분위 포함)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세율 인하는 단기 세수 감소를 유발하나, 소비 회복분이 일부 상쇄함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예비분석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세 가지 세제 동시 시행 시 </w:t>
      </w:r>
      <w:r>
        <w:rPr>
          <w:rFonts w:ascii="맑은 고딕" w:eastAsia="맑은 고딕"/>
          <w:b/>
          <w:color w:val="1a1a1a"/>
        </w:rPr>
        <w:t>순세수 약 1,063~1,476억원 감소</w:t>
      </w:r>
      <w:r>
        <w:rPr>
          <w:rFonts w:ascii="맑은 고딕" w:eastAsia="맑은 고딕"/>
          <w:color w:val="1a1a1a"/>
        </w:rPr>
        <w:t>로 추정(정밀 검증 필요)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본 연구에서 정밀 검증할 것 </w:t>
      </w:r>
      <w:r>
        <w:rPr>
          <w:rFonts w:ascii="맑은 고딕"/>
          <w:color w:val="1a1a1a"/>
        </w:rPr>
        <w:t>—</w:t>
      </w:r>
      <w:r>
        <w:rPr>
          <w:rFonts w:ascii="맑은 고딕"/>
          <w:color w:val="1a1a1a"/>
        </w:rPr>
        <w:t xml:space="preserve"> </w:t>
      </w:r>
      <w:r>
        <w:rPr>
          <w:rFonts w:ascii="맑은 고딕" w:eastAsia="맑은 고딕"/>
          <w:b/>
          <w:color w:val="1a1a1a"/>
        </w:rPr>
        <w:t>H2의 탄력성을 반영한 세수 시뮬레이션</w:t>
      </w:r>
      <w:r>
        <w:rPr>
          <w:rFonts w:ascii="맑은 고딕" w:eastAsia="맑은 고딕"/>
          <w:color w:val="1a1a1a"/>
        </w:rPr>
        <w:t>으로 주세·교육세·부가세 포함 순효과 산출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4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연구 내용에 대한 답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color w:val="444444"/>
          <w:sz w:val="22"/>
        </w:rPr>
        <w:t xml:space="preserve">의뢰서 </w:t>
      </w:r>
      <w:r>
        <w:rPr>
          <w:rFonts w:ascii="맑은 고딕"/>
          <w:color w:val="444444"/>
          <w:sz w:val="22"/>
        </w:rPr>
        <w:t>「</w:t>
      </w:r>
      <w:r>
        <w:rPr>
          <w:rFonts w:ascii="맑은 고딕" w:eastAsia="맑은 고딕"/>
          <w:color w:val="444444"/>
          <w:sz w:val="22"/>
        </w:rPr>
        <w:t>2. 연구 내용</w:t>
      </w:r>
      <w:r>
        <w:rPr>
          <w:rFonts w:ascii="맑은 고딕" w:eastAsia="맑은 고딕"/>
          <w:color w:val="444444"/>
          <w:sz w:val="22"/>
        </w:rPr>
        <w:t>」의</w:t>
      </w:r>
      <w:r>
        <w:rPr>
          <w:rFonts w:ascii="맑은 고딕"/>
          <w:color w:val="444444"/>
          <w:sz w:val="22"/>
        </w:rPr>
        <w:t xml:space="preserve"> Main·Sub</w:t>
      </w:r>
      <w:r>
        <w:rPr>
          <w:rFonts w:ascii="맑은 고딕"/>
          <w:color w:val="444444"/>
          <w:sz w:val="22"/>
        </w:rPr>
        <w:t>①</w:t>
      </w:r>
      <w:r>
        <w:rPr>
          <w:rFonts w:ascii="맑은 고딕"/>
          <w:color w:val="444444"/>
          <w:sz w:val="22"/>
        </w:rPr>
        <w:t>·Sub</w:t>
      </w:r>
      <w:r>
        <w:rPr>
          <w:rFonts w:ascii="맑은 고딕"/>
          <w:color w:val="444444"/>
          <w:sz w:val="22"/>
        </w:rPr>
        <w:t>②</w:t>
      </w:r>
      <w:r>
        <w:rPr>
          <w:rFonts w:ascii="맑은 고딕" w:eastAsia="맑은 고딕"/>
          <w:color w:val="444444"/>
          <w:sz w:val="22"/>
        </w:rPr>
        <w:t xml:space="preserve"> 각 항목에 대한 연구팀의 수행 계획임</w:t>
      </w:r>
    </w:p>
    <w:p>
      <w:pPr>
        <w:pStyle w:val="0"/>
        <w:widowControl w:val="off"/>
        <w:spacing w:after="140" w:line="408"/>
      </w:pPr>
      <w:r>
        <w:rPr>
          <w:rFonts w:ascii="맑은 고딕"/>
          <w:b/>
          <w:color w:val="1f4e9c"/>
          <w:sz w:val="24"/>
        </w:rPr>
        <w:t>❐</w:t>
      </w:r>
      <w:r>
        <w:rPr>
          <w:rFonts w:ascii="맑은 고딕" w:eastAsia="맑은 고딕"/>
          <w:b/>
          <w:color w:val="1f4e9c"/>
          <w:sz w:val="24"/>
        </w:rPr>
        <w:t xml:space="preserve"> Main : 주류 가격 변동(인하)과 경제·물가 안정의 상관관계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세제 합리화를 통한 출고가 인하가 </w:t>
      </w:r>
      <w:r>
        <w:rPr>
          <w:rFonts w:ascii="맑은 고딕" w:eastAsia="맑은 고딕"/>
          <w:b/>
          <w:color w:val="1a1a1a"/>
        </w:rPr>
        <w:t>소비자물가에 미치는 영향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소매·외식 CPI 분해로 전가의 시차·크기 측정 (H1)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소비자가 변화가 </w:t>
      </w:r>
      <w:r>
        <w:rPr>
          <w:rFonts w:ascii="맑은 고딕" w:eastAsia="맑은 고딕"/>
          <w:b/>
          <w:color w:val="1a1a1a"/>
        </w:rPr>
        <w:t>소상공인 매출에 미치는 영향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업종별 사업자 수·매출 지표와 연계 분석 (H2)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세제 합리화가 </w:t>
      </w:r>
      <w:r>
        <w:rPr>
          <w:rFonts w:ascii="맑은 고딕" w:eastAsia="맑은 고딕"/>
          <w:b/>
          <w:color w:val="1a1a1a"/>
        </w:rPr>
        <w:t>연관산업에 미치는 영향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특히 주류를 파는 </w:t>
      </w:r>
      <w:r>
        <w:rPr>
          <w:rFonts w:eastAsia="맑은 고딕"/>
          <w:b/>
          <w:color w:val="1a1a1a"/>
        </w:rPr>
        <w:t>음식점업</w:t>
      </w:r>
      <w:r>
        <w:rPr>
          <w:rFonts w:ascii="맑은 고딕" w:eastAsia="맑은 고딕"/>
          <w:color w:val="1a1a1a"/>
        </w:rPr>
        <w:t>의 소비자가·매출 연계 (H2)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세제 정책별 효과 및 필요성 도출 (H1~H3)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>- 종량세 인하 : 맥주 주세의 합리적 수준 도출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>- 종가세 조정 : 기준판매비율 확대 필요성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- 교육세 조정 : 세율 통일(10~30% </w:t>
      </w:r>
      <w:r>
        <w:rPr>
          <w:rFonts w:ascii="맑은 고딕"/>
          <w:color w:val="333333"/>
        </w:rPr>
        <w:t>→</w:t>
      </w:r>
      <w:r>
        <w:rPr>
          <w:rFonts w:ascii="맑은 고딕" w:eastAsia="맑은 고딕"/>
          <w:color w:val="333333"/>
        </w:rPr>
        <w:t xml:space="preserve"> 10%)의 효과</w:t>
      </w:r>
    </w:p>
    <w:p>
      <w:pPr>
        <w:pStyle w:val="0"/>
        <w:widowControl w:val="off"/>
        <w:spacing w:after="140" w:line="408"/>
      </w:pPr>
      <w:r>
        <w:rPr>
          <w:rFonts w:ascii="맑은 고딕"/>
          <w:b/>
          <w:color w:val="1f4e9c"/>
          <w:sz w:val="24"/>
        </w:rPr>
        <w:t>❐</w:t>
      </w:r>
      <w:r>
        <w:rPr>
          <w:rFonts w:ascii="맑은 고딕"/>
          <w:b/>
          <w:color w:val="1f4e9c"/>
          <w:sz w:val="24"/>
        </w:rPr>
        <w:t xml:space="preserve"> Sub</w:t>
      </w:r>
      <w:r>
        <w:rPr>
          <w:rFonts w:ascii="맑은 고딕"/>
          <w:b/>
          <w:color w:val="1f4e9c"/>
          <w:sz w:val="24"/>
        </w:rPr>
        <w:t>①</w:t>
      </w:r>
      <w:r>
        <w:rPr>
          <w:rFonts w:ascii="맑은 고딕" w:eastAsia="맑은 고딕"/>
          <w:b/>
          <w:color w:val="1f4e9c"/>
          <w:sz w:val="24"/>
        </w:rPr>
        <w:t xml:space="preserve"> : 주류 세제 합리화 필요성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주류 관련 세금의 </w:t>
      </w:r>
      <w:r>
        <w:rPr>
          <w:rFonts w:ascii="맑은 고딕" w:eastAsia="맑은 고딕"/>
          <w:b/>
          <w:color w:val="1a1a1a"/>
        </w:rPr>
        <w:t>국제 현황 조사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 xml:space="preserve">* OECD 주요국과 직접 비교 가능한 </w:t>
      </w:r>
      <w:r>
        <w:rPr>
          <w:rFonts w:ascii="맑은 고딕" w:eastAsia="맑은 고딕"/>
          <w:b/>
          <w:color w:val="333333"/>
        </w:rPr>
        <w:t>종량세 주종(맥주) 위주</w:t>
      </w:r>
      <w:r>
        <w:rPr>
          <w:rFonts w:ascii="맑은 고딕" w:eastAsia="맑은 고딕"/>
          <w:color w:val="333333"/>
        </w:rPr>
        <w:t>로 주세 수준 비교</w:t>
      </w:r>
    </w:p>
    <w:p>
      <w:pPr>
        <w:pStyle w:val="0"/>
        <w:widowControl w:val="off"/>
        <w:spacing w:after="140" w:line="408"/>
        <w:ind w:left="283" w:hanging="283"/>
      </w:pPr>
      <w:r>
        <w:rPr>
          <w:rFonts w:ascii="맑은 고딕" w:eastAsia="맑은 고딕"/>
          <w:color w:val="333333"/>
        </w:rPr>
        <w:t>* 주세 이외 목적세(교육세 등) 부과 여부 조사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기준판매비율 적정성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도입 취지 및 적정 적용 비율의 당위성 검토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주류 교육세 차등부과의 적정성 검토</w:t>
      </w:r>
    </w:p>
    <w:p>
      <w:pPr>
        <w:pStyle w:val="0"/>
        <w:widowControl w:val="off"/>
        <w:spacing w:after="140" w:line="408"/>
      </w:pPr>
      <w:r>
        <w:rPr>
          <w:rFonts w:ascii="맑은 고딕"/>
          <w:b/>
          <w:color w:val="1f4e9c"/>
          <w:sz w:val="24"/>
        </w:rPr>
        <w:t>❐</w:t>
      </w:r>
      <w:r>
        <w:rPr>
          <w:rFonts w:ascii="맑은 고딕"/>
          <w:b/>
          <w:color w:val="1f4e9c"/>
          <w:sz w:val="24"/>
        </w:rPr>
        <w:t xml:space="preserve"> Sub</w:t>
      </w:r>
      <w:r>
        <w:rPr>
          <w:rFonts w:ascii="맑은 고딕"/>
          <w:b/>
          <w:color w:val="1f4e9c"/>
          <w:sz w:val="24"/>
        </w:rPr>
        <w:t>②</w:t>
      </w:r>
      <w:r>
        <w:rPr>
          <w:rFonts w:ascii="맑은 고딕" w:eastAsia="맑은 고딕"/>
          <w:b/>
          <w:color w:val="1f4e9c"/>
          <w:sz w:val="24"/>
        </w:rPr>
        <w:t xml:space="preserve"> : 주류 세제와 조세수입의 상관관계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연도별 </w:t>
      </w:r>
      <w:r>
        <w:rPr>
          <w:rFonts w:ascii="맑은 고딕" w:eastAsia="맑은 고딕"/>
          <w:b/>
          <w:color w:val="1a1a1a"/>
        </w:rPr>
        <w:t>주세 비중 및 사용 현황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주세가 국가 예산에 미치는 영향 (H3)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color w:val="1a1a1a"/>
        </w:rPr>
        <w:t xml:space="preserve"> 교육세 중 </w:t>
      </w:r>
      <w:r>
        <w:rPr>
          <w:rFonts w:ascii="맑은 고딕" w:eastAsia="맑은 고딕"/>
          <w:b/>
          <w:color w:val="1a1a1a"/>
        </w:rPr>
        <w:t>주류교육세가 미치는 영향</w:t>
      </w:r>
      <w:r>
        <w:rPr>
          <w:rFonts w:ascii="맑은 고딕" w:eastAsia="맑은 고딕"/>
          <w:color w:val="1a1a1a"/>
        </w:rPr>
        <w:t xml:space="preserve"> 분석 (H3)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</w:tblGrid>
      <w:tr>
        <w:trPr>
          <w:trHeight w:val="56"/>
        </w:trPr>
        <w:tc>
          <w:tcPr>
            <w:tcW w:w="8504" w:type="dxa"/>
            <w:tcBorders>
              <w:top w:val="single" w:color="c9d3e4" w:sz="3"/>
              <w:left w:val="single" w:color="1f4e9c" w:sz="23"/>
              <w:bottom w:val="single" w:color="c9d3e4" w:sz="3"/>
              <w:right w:val="single" w:color="c9d3e4" w:sz="3"/>
            </w:tcBorders>
            <w:shd w:val="clear" w:fill="f6f9ff"/>
            <w:tcMar>
              <w:top w:w="198" w:type="dxa"/>
              <w:left w:w="283" w:type="dxa"/>
              <w:bottom w:w="198" w:type="dxa"/>
              <w:right w:w="283" w:type="dxa"/>
            </w:tcMar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/>
                <w:b/>
                <w:sz w:val="20"/>
              </w:rPr>
              <w:t>※</w:t>
            </w:r>
            <w:r>
              <w:rPr>
                <w:rFonts w:ascii="맑은 고딕" w:eastAsia="맑은 고딕"/>
                <w:b/>
                <w:sz w:val="20"/>
              </w:rPr>
              <w:t xml:space="preserve"> 자료의 원칙</w:t>
            </w:r>
            <w:r>
              <w:br/>
              <w:rPr>
                <w:rFonts w:ascii="맑은 고딕" w:eastAsia="맑은 고딕"/>
                <w:sz w:val="20"/>
              </w:rPr>
              <w:t xml:space="preserve"> 정책 제안의 근거 자료이므로 </w:t>
            </w:r>
            <w:r>
              <w:rPr>
                <w:rFonts w:ascii="맑은 고딕" w:eastAsia="맑은 고딕"/>
                <w:b/>
                <w:sz w:val="20"/>
              </w:rPr>
              <w:t>정확성·객관성·중립성</w:t>
            </w:r>
            <w:r>
              <w:rPr>
                <w:rFonts w:ascii="맑은 고딕" w:eastAsia="맑은 고딕"/>
                <w:sz w:val="20"/>
              </w:rPr>
              <w:t>을 갖춘 자료로 구축함. 모든 수치는 공개 공식통계(국세청·식약처·한국은행·통계청)와 승인받은 미시데이터(재정패널)에 근거하며, 유리한 결과와 불리한 결과를 함께 제시함.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5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연구 방법 및 데이터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73a75"/>
          <w:sz w:val="24"/>
        </w:rPr>
        <w:t>가. 분석 방법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b/>
          <w:color w:val="1a1a1a"/>
        </w:rPr>
        <w:t>H1 가격</w:t>
      </w:r>
      <w:r>
        <w:rPr>
          <w:rFonts w:ascii="맑은 고딕" w:eastAsia="맑은 고딕"/>
          <w:color w:val="1a1a1a"/>
        </w:rPr>
        <w:t xml:space="preserve"> : 세제가 바뀐 해·주종과 그렇지 않은 쪽을 견주어 순수 전가율(세제</w:t>
      </w:r>
      <w:r>
        <w:rPr>
          <w:rFonts w:ascii="맑은 고딕" w:eastAsia="맑은 고딕"/>
          <w:color w:val="1a1a1a"/>
        </w:rPr>
        <w:t>→출고가→소비자가</w:t>
      </w:r>
      <w:r>
        <w:rPr>
          <w:rFonts w:ascii="맑은 고딕" w:eastAsia="맑은 고딕"/>
          <w:color w:val="1a1a1a"/>
        </w:rPr>
        <w:t>)을 추정하고, 소매·외식 CPI로 전가의 시차·크기를 측정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b/>
          <w:color w:val="1a1a1a"/>
        </w:rPr>
        <w:t>H2 매출</w:t>
      </w:r>
      <w:r>
        <w:rPr>
          <w:rFonts w:ascii="맑은 고딕" w:eastAsia="맑은 고딕"/>
          <w:color w:val="1a1a1a"/>
        </w:rPr>
        <w:t xml:space="preserve"> : 주종·소득분위별 수요함수로 탄력성과 매출 변화를 추정 </w:t>
      </w:r>
      <w:r>
        <w:rPr>
          <w:rFonts w:ascii="맑은 고딕"/>
          <w:color w:val="1a1a1a"/>
        </w:rPr>
        <w:t>—</w:t>
      </w:r>
      <w:r>
        <w:rPr>
          <w:rFonts w:ascii="맑은 고딕"/>
          <w:color w:val="1a1a1a"/>
        </w:rPr>
        <w:t xml:space="preserve"> </w:t>
      </w:r>
      <w:r>
        <w:rPr>
          <w:rFonts w:ascii="맑은 고딕" w:eastAsia="맑은 고딕"/>
          <w:b/>
          <w:color w:val="1a1a1a"/>
        </w:rPr>
        <w:t>재정패널 가구 지출에 주종별 CPI·대표제품 가격(DART)을 가격변수로 결합</w:t>
      </w:r>
      <w:r>
        <w:rPr>
          <w:rFonts w:ascii="맑은 고딕" w:eastAsia="맑은 고딕"/>
          <w:color w:val="1a1a1a"/>
        </w:rPr>
        <w:t>해 소득분위별 탄력성 산출, 음식점업 매출 지표 연계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❍</w:t>
      </w:r>
      <w:r>
        <w:rPr>
          <w:rFonts w:ascii="맑은 고딕" w:eastAsia="맑은 고딕"/>
          <w:b/>
          <w:color w:val="1a1a1a"/>
        </w:rPr>
        <w:t>H3 세수</w:t>
      </w:r>
      <w:r>
        <w:rPr>
          <w:rFonts w:ascii="맑은 고딕" w:eastAsia="맑은 고딕"/>
          <w:color w:val="1a1a1a"/>
        </w:rPr>
        <w:t xml:space="preserve"> : H2의 탄력성을 반영해 주세·교육세·부가세를 포함한 세수 순효과를 시뮬레이션</w:t>
      </w: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73a75"/>
          <w:sz w:val="24"/>
        </w:rPr>
        <w:t>나. 활용 데이터</w:t>
      </w: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11111"/>
          <w:sz w:val="22"/>
        </w:rPr>
        <w:t>표 2. 주요 데이터와 용도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5"/>
        <w:gridCol w:w="2835"/>
        <w:gridCol w:w="2835"/>
      </w:tblGrid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sz w:val="20"/>
              </w:rPr>
              <w:t>데이터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sz w:val="20"/>
              </w:rPr>
              <w:t>출처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eaf0f8"/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eastAsia="맑은 고딕"/>
                <w:sz w:val="20"/>
              </w:rPr>
              <w:t>용도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주종별 출고량·세액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국세청 국세통계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출고가·수량·세수(H1~H3)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주류 판매실적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b/>
                <w:sz w:val="20"/>
              </w:rPr>
              <w:t>식품의약품안전처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전가 교차검증(H1)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기업 원가·제품가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b/>
                <w:sz w:val="20"/>
              </w:rPr>
              <w:t>DART 전자공시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전가(H1)·대표제품 가격변수(H2)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소비자·생산자물가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한국은행 ECOS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전가 경로(H1)·가격변수(H2)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가계동향·시도 물가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통계청 KOSIS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가구 소비·지역 물가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재정패널(NaSTaB)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eastAsia="맑은 고딕"/>
                <w:sz w:val="20"/>
              </w:rPr>
              <w:t>한국조세재정연구원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소득분위별 탄력성·세부담(H2)</w:t>
            </w:r>
          </w:p>
        </w:tc>
      </w:tr>
      <w:tr>
        <w:trPr>
          <w:trHeight w:val="56"/>
        </w:trPr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선행 문헌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 w:eastAsia="맑은 고딕"/>
                <w:sz w:val="20"/>
              </w:rPr>
              <w:t>KCI·국제 학술</w:t>
            </w:r>
          </w:p>
        </w:tc>
        <w:tc>
          <w:tcPr>
            <w:tcW w:w="2835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tcMar>
              <w:top w:w="113" w:type="dxa"/>
              <w:left w:w="170" w:type="dxa"/>
              <w:bottom w:w="113" w:type="dxa"/>
              <w:right w:w="170" w:type="dxa"/>
            </w:tcMar>
            <w:vAlign w:val="center"/>
          </w:tcPr>
          <w:p>
            <w:pPr>
              <w:pStyle w:val="0"/>
              <w:widowControl w:val="off"/>
              <w:jc w:val="left"/>
            </w:pPr>
            <w:r>
              <w:rPr>
                <w:rFonts w:ascii="맑은 고딕" w:eastAsia="맑은 고딕"/>
                <w:sz w:val="20"/>
              </w:rPr>
              <w:t>탄력성·전가 근거</w:t>
            </w:r>
          </w:p>
        </w:tc>
      </w:tr>
    </w:tbl>
    <w:p>
      <w:pPr>
        <w:pStyle w:val="0"/>
        <w:widowControl w:val="off"/>
        <w:spacing w:after="140" w:line="408"/>
      </w:pP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6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  <w:b/>
                <w:color w:val="111111"/>
                <w:sz w:val="32"/>
              </w:rPr>
              <w:t>추진 체계 · 일정 · 비용</w:t>
            </w:r>
          </w:p>
        </w:tc>
      </w:tr>
    </w:tbl>
    <w:p>
      <w:pPr>
        <w:pStyle w:val="0"/>
        <w:widowControl w:val="off"/>
        <w:spacing w:after="140" w:line="408"/>
      </w:pP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73a75"/>
          <w:sz w:val="24"/>
        </w:rPr>
        <w:t>가. 연구 일정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b/>
          <w:color w:val="1a1a1a"/>
        </w:rPr>
        <w:t>(7월)</w:t>
      </w:r>
      <w:r>
        <w:rPr>
          <w:rFonts w:ascii="맑은 고딕" w:eastAsia="맑은 고딕"/>
          <w:color w:val="1a1a1a"/>
        </w:rPr>
        <w:t xml:space="preserve"> 추진 계획 협의, 용역 계약 체결, 조사 착수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연구 내용·범위 확정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b/>
          <w:color w:val="1a1a1a"/>
        </w:rPr>
        <w:t>(8~9월)</w:t>
      </w:r>
      <w:r>
        <w:rPr>
          <w:rFonts w:ascii="맑은 고딕" w:eastAsia="맑은 고딕"/>
          <w:color w:val="1a1a1a"/>
        </w:rPr>
        <w:t xml:space="preserve"> 데이터 구축·실증분석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H1 가격·H2 매출·H3 세수 3개 축 병행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b/>
          <w:color w:val="1a1a1a"/>
        </w:rPr>
        <w:t>(10월 초)</w:t>
      </w:r>
      <w:r>
        <w:rPr>
          <w:rFonts w:ascii="맑은 고딕" w:eastAsia="맑은 고딕"/>
          <w:color w:val="1a1a1a"/>
        </w:rPr>
        <w:t xml:space="preserve"> 연구 완료 및 </w:t>
      </w:r>
      <w:r>
        <w:rPr>
          <w:rFonts w:ascii="맑은 고딕" w:eastAsia="맑은 고딕"/>
          <w:b/>
          <w:color w:val="1a1a1a"/>
        </w:rPr>
        <w:t>보고서 발간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중간보고 시기는 별도 협의</w:t>
      </w: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73a75"/>
          <w:sz w:val="24"/>
        </w:rPr>
        <w:t>나. 기타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color w:val="1a1a1a"/>
        </w:rPr>
        <w:t xml:space="preserve"> 공청회·토론회 진행 시 </w:t>
      </w:r>
      <w:r>
        <w:rPr>
          <w:rFonts w:ascii="맑은 고딕" w:eastAsia="맑은 고딕"/>
          <w:b/>
          <w:color w:val="1a1a1a"/>
        </w:rPr>
        <w:t>토론자로 참여(발제 병행)</w:t>
      </w:r>
    </w:p>
    <w:p>
      <w:pPr>
        <w:pStyle w:val="0"/>
        <w:widowControl w:val="off"/>
        <w:spacing w:after="140" w:line="408"/>
      </w:pPr>
      <w:r>
        <w:rPr>
          <w:rFonts w:ascii="맑은 고딕" w:eastAsia="맑은 고딕"/>
          <w:b/>
          <w:color w:val="173a75"/>
          <w:sz w:val="24"/>
        </w:rPr>
        <w:t>다. 용역 비용(안)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b/>
          <w:color w:val="1f4e9c"/>
        </w:rPr>
        <w:t>❐</w:t>
      </w:r>
      <w:r>
        <w:rPr>
          <w:rFonts w:ascii="맑은 고딕" w:eastAsia="맑은 고딕"/>
          <w:color w:val="1a1a1a"/>
        </w:rPr>
        <w:t xml:space="preserve"> 총 </w:t>
      </w:r>
      <w:r>
        <w:rPr>
          <w:rFonts w:ascii="맑은 고딕" w:eastAsia="맑은 고딕"/>
          <w:b/>
          <w:color w:val="1a1a1a"/>
        </w:rPr>
        <w:t>30,000,000원(VAT 포함) 내외</w:t>
      </w:r>
      <w:r>
        <w:rPr>
          <w:rFonts w:ascii="맑은 고딕"/>
          <w:color w:val="1a1a1a"/>
        </w:rPr>
        <w:t xml:space="preserve"> </w:t>
      </w:r>
      <w:r>
        <w:rPr>
          <w:rFonts w:ascii="맑은 고딕"/>
          <w:color w:val="1a1a1a"/>
        </w:rPr>
        <w:t>—</w:t>
      </w:r>
      <w:r>
        <w:rPr>
          <w:rFonts w:ascii="맑은 고딕" w:eastAsia="맑은 고딕"/>
          <w:color w:val="1a1a1a"/>
        </w:rPr>
        <w:t xml:space="preserve"> 디자인·인쇄비 제외, 조사내용 수정·보완 비용 포함</w:t>
      </w:r>
    </w:p>
    <w:tbl>
      <w:tblPr>
        <w:tblOverlap w:val="never"/>
        <w:tblW w:w="8504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7937"/>
      </w:tblGrid>
      <w:tr>
        <w:trPr>
          <w:trHeight w:val="56"/>
        </w:trPr>
        <w:tc>
          <w:tcPr>
            <w:tcW w:w="56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shd w:val="clear" w:fill="1f4e9c"/>
            <w:tcMar>
              <w:top w:w="113" w:type="dxa"/>
              <w:left w:w="0" w:type="dxa"/>
              <w:bottom w:w="113" w:type="dxa"/>
              <w:right w:w="0" w:type="dxa"/>
            </w:tcMar>
            <w:vAlign w:val="center"/>
          </w:tcPr>
          <w:p>
            <w:pPr>
              <w:pStyle w:val="0"/>
              <w:widowControl w:val="off"/>
              <w:jc w:val="center"/>
            </w:pPr>
            <w:r>
              <w:rPr>
                <w:rFonts w:ascii="맑은 고딕"/>
                <w:b/>
                <w:color w:val="ffffff"/>
                <w:sz w:val="30"/>
              </w:rPr>
              <w:t>7</w:t>
            </w:r>
          </w:p>
        </w:tc>
        <w:tc>
          <w:tcPr>
            <w:tcW w:w="7937" w:type="dxa"/>
            <w:tcBorders>
              <w:top w:val="none" w:color="000000" w:sz="3"/>
              <w:left w:val="none" w:color="000000" w:sz="3"/>
              <w:bottom w:val="single" w:color="1f4e9c" w:sz="11"/>
              <w:right w:val="none" w:color="000000" w:sz="3"/>
            </w:tcBorders>
            <w:tcMar>
              <w:top w:w="0" w:type="dxa"/>
              <w:left w:w="227" w:type="dxa"/>
              <w:bottom w:w="85" w:type="dxa"/>
              <w:right w:w="0" w:type="dxa"/>
            </w:tcMar>
            <w:vAlign w:val="bottom"/>
          </w:tcPr>
          <w:p>
            <w:pPr>
              <w:pStyle w:val="0"/>
              <w:widowControl w:val="off"/>
            </w:pPr>
            <w:r>
              <w:rPr>
                <w:rFonts w:eastAsia="맑은 고딕"/>
                <w:b/>
                <w:color w:val="111111"/>
                <w:sz w:val="32"/>
              </w:rPr>
              <w:t>참고문헌</w:t>
            </w:r>
          </w:p>
        </w:tc>
      </w:tr>
    </w:tbl>
    <w:p>
      <w:pPr>
        <w:pStyle w:val="0"/>
        <w:widowControl w:val="off"/>
        <w:spacing w:after="140" w:line="408"/>
        <w:ind w:left="340" w:hanging="340"/>
      </w:pP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color w:val="444444"/>
          <w:sz w:val="20"/>
        </w:rPr>
        <w:t xml:space="preserve">Wagenaar, A. C., Salois, M. J., &amp; Komro, K. A. (2009). Effects of beverage alcohol price and tax levels on drinking: a meta-analysis of 1003 estimates from 112 studies. </w:t>
      </w:r>
      <w:r>
        <w:rPr>
          <w:rFonts w:ascii="맑은 고딕"/>
          <w:i/>
          <w:color w:val="444444"/>
          <w:sz w:val="20"/>
        </w:rPr>
        <w:t>Addiction</w:t>
      </w:r>
      <w:r>
        <w:rPr>
          <w:rFonts w:ascii="맑은 고딕"/>
          <w:color w:val="444444"/>
          <w:sz w:val="20"/>
        </w:rPr>
        <w:t>, 104(2), 179</w:t>
      </w:r>
      <w:r>
        <w:rPr>
          <w:rFonts w:ascii="맑은 고딕"/>
          <w:color w:val="444444"/>
          <w:sz w:val="20"/>
        </w:rPr>
        <w:t>–</w:t>
      </w:r>
      <w:r>
        <w:rPr>
          <w:rFonts w:ascii="맑은 고딕"/>
          <w:color w:val="444444"/>
          <w:sz w:val="20"/>
        </w:rPr>
        <w:t>190. https://doi.org/10.1111/j.1360-0443.2008.02438.x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color w:val="444444"/>
          <w:sz w:val="20"/>
        </w:rPr>
        <w:t xml:space="preserve">Nelson, J. P., &amp; Moran, J. R. (2020). Effects of alcohol taxation on prices: A systematic review and meta-analysis of pass-through rates. </w:t>
      </w:r>
      <w:r>
        <w:rPr>
          <w:rFonts w:ascii="맑은 고딕"/>
          <w:i/>
          <w:color w:val="444444"/>
          <w:sz w:val="20"/>
        </w:rPr>
        <w:t>The B.E. Journal of Economic Analysis &amp; Policy</w:t>
      </w:r>
      <w:r>
        <w:rPr>
          <w:rFonts w:ascii="맑은 고딕"/>
          <w:color w:val="444444"/>
          <w:sz w:val="20"/>
        </w:rPr>
        <w:t>, 20(1), 20190134. https://doi.org/10.1515/bejeap-2019-0134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color w:val="444444"/>
          <w:sz w:val="20"/>
        </w:rPr>
        <w:t xml:space="preserve">Shang, C., Ngo, A., &amp; Chaloupka, F. J. (2020). The pass-through of alcohol excise taxes to prices in OECD countries. </w:t>
      </w:r>
      <w:r>
        <w:rPr>
          <w:rFonts w:ascii="맑은 고딕"/>
          <w:i/>
          <w:color w:val="444444"/>
          <w:sz w:val="20"/>
        </w:rPr>
        <w:t>The European Journal of Health Economics</w:t>
      </w:r>
      <w:r>
        <w:rPr>
          <w:rFonts w:ascii="맑은 고딕"/>
          <w:color w:val="444444"/>
          <w:sz w:val="20"/>
        </w:rPr>
        <w:t>, 21(6). https://doi.org/10.1007/s10198-020-01177-w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/>
          <w:color w:val="444444"/>
          <w:sz w:val="20"/>
        </w:rPr>
        <w:t xml:space="preserve">Miravete, E. J., Seim, K., &amp; Thurk, J. (2018). Market power and the Laffer curve. </w:t>
      </w:r>
      <w:r>
        <w:rPr>
          <w:rFonts w:ascii="맑은 고딕"/>
          <w:i/>
          <w:color w:val="444444"/>
          <w:sz w:val="20"/>
        </w:rPr>
        <w:t>Econometrica</w:t>
      </w:r>
      <w:r>
        <w:rPr>
          <w:rFonts w:ascii="맑은 고딕"/>
          <w:color w:val="444444"/>
          <w:sz w:val="20"/>
        </w:rPr>
        <w:t>, 86(5), 1651</w:t>
      </w:r>
      <w:r>
        <w:rPr>
          <w:rFonts w:ascii="맑은 고딕"/>
          <w:color w:val="444444"/>
          <w:sz w:val="20"/>
        </w:rPr>
        <w:t>–</w:t>
      </w:r>
      <w:r>
        <w:rPr>
          <w:rFonts w:ascii="맑은 고딕"/>
          <w:color w:val="444444"/>
          <w:sz w:val="20"/>
        </w:rPr>
        <w:t>1687. https://doi.org/10.3982/ECTA12307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 w:eastAsia="맑은 고딕"/>
          <w:color w:val="444444"/>
          <w:sz w:val="20"/>
        </w:rPr>
        <w:t xml:space="preserve">이준규, 송은주 (2018). 주세의 종량세 전환이 외부효과에 미치는 영향. </w:t>
      </w:r>
      <w:r>
        <w:rPr>
          <w:rFonts w:eastAsia="맑은 고딕"/>
          <w:i/>
          <w:color w:val="444444"/>
          <w:sz w:val="20"/>
        </w:rPr>
        <w:t>세무와회계저널</w:t>
      </w:r>
      <w:r>
        <w:rPr>
          <w:rFonts w:ascii="맑은 고딕"/>
          <w:color w:val="444444"/>
          <w:sz w:val="20"/>
        </w:rPr>
        <w:t>, 19(2), 63</w:t>
      </w:r>
      <w:r>
        <w:rPr>
          <w:rFonts w:ascii="맑은 고딕"/>
          <w:color w:val="444444"/>
          <w:sz w:val="20"/>
        </w:rPr>
        <w:t>–</w:t>
      </w:r>
      <w:r>
        <w:rPr>
          <w:rFonts w:ascii="맑은 고딕"/>
          <w:color w:val="444444"/>
          <w:sz w:val="20"/>
        </w:rPr>
        <w:t>87. https://doi.org/10.35850/KJTA.19.2.03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 w:eastAsia="맑은 고딕"/>
          <w:color w:val="444444"/>
          <w:sz w:val="20"/>
        </w:rPr>
        <w:t xml:space="preserve">이기환 (2025). 맥주 주세가 소매점 번들링에 미치는 영향: 종가세에서 종량세로의 전환. </w:t>
      </w:r>
      <w:r>
        <w:rPr>
          <w:rFonts w:eastAsia="맑은 고딕"/>
          <w:i/>
          <w:color w:val="444444"/>
          <w:sz w:val="20"/>
        </w:rPr>
        <w:t>산업경제연구</w:t>
      </w:r>
      <w:r>
        <w:rPr>
          <w:rFonts w:ascii="맑은 고딕"/>
          <w:color w:val="444444"/>
          <w:sz w:val="20"/>
        </w:rPr>
        <w:t>, 38(3), 309</w:t>
      </w:r>
      <w:r>
        <w:rPr>
          <w:rFonts w:ascii="맑은 고딕"/>
          <w:color w:val="444444"/>
          <w:sz w:val="20"/>
        </w:rPr>
        <w:t>–</w:t>
      </w:r>
      <w:r>
        <w:rPr>
          <w:rFonts w:ascii="맑은 고딕"/>
          <w:color w:val="444444"/>
          <w:sz w:val="20"/>
        </w:rPr>
        <w:t>336. https://doi.org/10.22558/jieb.2025.6.38.3.309</w:t>
      </w:r>
    </w:p>
    <w:p>
      <w:pPr>
        <w:pStyle w:val="0"/>
        <w:widowControl w:val="off"/>
        <w:spacing w:after="140" w:line="408"/>
        <w:ind w:left="340" w:hanging="340"/>
      </w:pPr>
      <w:r>
        <w:rPr>
          <w:rFonts w:ascii="맑은 고딕" w:eastAsia="맑은 고딕"/>
          <w:color w:val="444444"/>
          <w:sz w:val="20"/>
        </w:rPr>
        <w:t>데이터 출처: 국세청 국세통계포털; 식품의약품안전처 주류 판매실적; 한국은행 ECOS; 통계청 KOSIS; 한국조세재정연구원 재정패널(NaSTaB); 금융감독원 전자공시(DART)</w:t>
      </w:r>
    </w:p>
    <w:sectPr>
      <w:footerReference w:type="default" r:id="rId3"/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984" w:right="1701" w:bottom="1701" w:left="1701" w:header="1134" w:footer="850" w:gutter="0"/>
      <w:cols w:space="0"/>
    </w:sectPr>
  </w:body>
</w:document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맑은 고딕" w:hAnsi="맑은 고딕" w:eastAsia="맑은 고딕"/>
        <w:sz w:val="19"/>
      </w:rPr>
      <w:t xml:space="preserve">- </w:t>
    </w:r>
    <w:fldSimple w:instr="PAGE">
      <w:r>
        <w:t>1</w:t>
      </w:r>
    </w:fldSimple>
    <w:r>
      <w:rPr>
        <w:rFonts w:ascii="맑은 고딕" w:hAnsi="맑은 고딕" w:eastAsia="맑은 고딕"/>
        <w:sz w:val="19"/>
      </w:rPr>
      <w:t xml:space="preserve"> -</w:t>
    </w:r>
  </w:p>
</w:ftr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sz w:val="22"/>
    </w:rPr>
  </w:style>
  <w:style w:type="paragraph" w:styleId="1">
    <w:name w:val="BODY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1a1a1a"/>
      <w:sz w:val="22"/>
    </w:rPr>
  </w:style>
  <w:style w:type="paragraph" w:styleId="2">
    <w:name w:val=".DOC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한컴바탕" w:eastAsia="한컴바탕"/>
      <w:color w:val="000000"/>
      <w:sz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oter" Target="footer1.xml"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주세 정책이 경제·물가에 미치는 영향 연구 — 연구계획서(안)</dc:title>
  <cp:lastModifiedBy>cha 001</cp:lastModifiedBy>
  <dcterms:created xsi:type="dcterms:W3CDTF">2026-07-16T04:49:49.702</dcterms:created>
  <dcterms:modified xsi:type="dcterms:W3CDTF">2026-07-16T04:49:51.012</dcterms:modified>
  <cp:version>0501.0100.01</cp:version>
</cp:coreProperties>
</file>