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sz w:val="20"/>
              </w:rPr>
              <w:t xml:space="preserve"> </w:t>
            </w:r>
          </w:p>
        </w:tc>
      </w:tr>
    </w:tbl>
    <w:p>
      <w:pPr>
        <w:pStyle w:val="2"/>
        <w:widowControl w:val="off"/>
        <w:spacing w:after="100"/>
      </w:pPr>
    </w:p>
    <w:p>
      <w:pPr>
        <w:pStyle w:val="0"/>
        <w:widowControl w:val="off"/>
        <w:spacing w:after="100"/>
        <w:jc w:val="center"/>
      </w:pPr>
      <w:r>
        <w:rPr>
          <w:sz w:val="132"/>
        </w:rPr>
        <w:t xml:space="preserve"> </w:t>
      </w:r>
    </w:p>
    <w:p>
      <w:pPr>
        <w:pStyle w:val="0"/>
        <w:widowControl w:val="off"/>
        <w:spacing w:after="100"/>
        <w:jc w:val="center"/>
      </w:pPr>
      <w:r>
        <w:rPr>
          <w:b/>
          <w:color w:val="1f4e9c"/>
          <w:sz w:val="28"/>
        </w:rPr>
        <w:t>주세 정책이 경제·물가에 미치는 영향 연구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00"/>
        <w:jc w:val="center"/>
      </w:pPr>
    </w:p>
    <w:p>
      <w:pPr>
        <w:pStyle w:val="0"/>
        <w:widowControl w:val="off"/>
        <w:spacing w:after="100"/>
        <w:jc w:val="center"/>
      </w:pPr>
      <w:r>
        <w:rPr>
          <w:b/>
          <w:color w:val="111111"/>
          <w:spacing w:val="114"/>
          <w:sz w:val="60"/>
        </w:rPr>
        <w:t>연구계획서(안)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00"/>
        <w:jc w:val="center"/>
      </w:pPr>
    </w:p>
    <w:p>
      <w:pPr>
        <w:pStyle w:val="0"/>
        <w:widowControl w:val="off"/>
        <w:spacing w:after="100"/>
        <w:jc w:val="center"/>
      </w:pPr>
      <w:r>
        <w:rPr>
          <w:sz w:val="52"/>
        </w:rPr>
        <w:t xml:space="preserve"> </w:t>
      </w:r>
    </w:p>
    <w:p>
      <w:pPr>
        <w:pStyle w:val="0"/>
        <w:widowControl w:val="off"/>
        <w:spacing w:after="100"/>
        <w:jc w:val="center"/>
      </w:pPr>
      <w:r>
        <w:rPr>
          <w:b/>
          <w:sz w:val="28"/>
        </w:rPr>
        <w:t>2026. 7.</w:t>
      </w:r>
    </w:p>
    <w:p>
      <w:pPr>
        <w:pStyle w:val="0"/>
        <w:widowControl w:val="off"/>
        <w:spacing w:after="100"/>
        <w:jc w:val="center"/>
      </w:pPr>
      <w:r>
        <w:rPr>
          <w:sz w:val="80"/>
        </w:rPr>
        <w:t xml:space="preserve"> </w:t>
      </w:r>
    </w:p>
    <w:p>
      <w:pPr>
        <w:pStyle w:val="0"/>
        <w:widowControl w:val="off"/>
        <w:spacing w:after="100"/>
        <w:jc w:val="center"/>
      </w:pPr>
      <w:r>
        <w:rPr>
          <w:b/>
          <w:color w:val="333333"/>
          <w:sz w:val="26"/>
        </w:rPr>
        <w:t>한국주류산업협회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1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 xml:space="preserve">주종 단위 </w:t>
            </w:r>
            <w:r>
              <w:rPr>
                <w:b/>
                <w:color w:val="111111"/>
                <w:sz w:val="32"/>
              </w:rPr>
              <w:t>—</w:t>
            </w:r>
            <w:r>
              <w:rPr>
                <w:b/>
                <w:color w:val="111111"/>
                <w:sz w:val="32"/>
              </w:rPr>
              <w:t xml:space="preserve"> 분석의 중심축</w:t>
            </w:r>
          </w:p>
        </w:tc>
      </w:tr>
    </w:tbl>
    <w:p>
      <w:pPr>
        <w:pStyle w:val="0"/>
        <w:widowControl w:val="off"/>
        <w:spacing w:after="100"/>
        <w:jc w:val="center"/>
      </w:pPr>
    </w:p>
    <w:p>
      <w:pPr>
        <w:pStyle w:val="0"/>
        <w:widowControl w:val="off"/>
        <w:spacing w:after="100"/>
      </w:pPr>
      <w:r>
        <w:rPr>
          <w:color w:val="444444"/>
          <w:sz w:val="22"/>
        </w:rPr>
        <w:t>기준 2026년 7월. 모두 공개 자료이며(협회 제공 자료 미포함), 예비 수치는 근사치로 본 연구에서 정밀 검증함</w:t>
      </w:r>
    </w:p>
    <w:p>
      <w:pPr>
        <w:pStyle w:val="0"/>
        <w:widowControl w:val="off"/>
        <w:spacing w:after="100"/>
      </w:pPr>
      <w:r>
        <w:rPr>
          <w:b/>
          <w:color w:val="111111"/>
          <w:sz w:val="22"/>
        </w:rPr>
        <w:t>표 1. 주종 단위 보유 데이터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6"/>
      </w:tblGrid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데이터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내용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출처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기간·주기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출고량·세액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주종별 출고량·납부세액·과세표준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국세청 국세통계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2006~2024 · 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주류 판매실적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주종별 국내 판매액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식품의약품안전처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세전출고가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식약처 판매액 ÷ 국세청 출고량으로 산출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가공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소비자·생산자물가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주류 품목별 CPI·PPI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한국은행 ECOS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2006~ · 월·연</w:t>
            </w:r>
          </w:p>
        </w:tc>
      </w:tr>
    </w:tbl>
    <w:p>
      <w:pPr>
        <w:pStyle w:val="0"/>
        <w:widowControl w:val="off"/>
        <w:spacing w:after="10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핵심 조합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식약처 판매액 ÷ 국세청 출고량 = 전 주종 세전출고가. 종량세 주종(맥주·탁주)은 국세청 과세표준이 '금액'이 아니어서 이 방법으로만 산출 가능함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교차검증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두 자료의 소주 출고가가 2018~2022년 비율 0.99~1.05로 일치하고, </w:t>
      </w:r>
      <w:r>
        <w:rPr>
          <w:b/>
          <w:color w:val="1a1a1a"/>
        </w:rPr>
        <w:t>2024년에만 0.796으로 벌어짐</w:t>
      </w:r>
      <w:r>
        <w:rPr>
          <w:color w:val="1a1a1a"/>
        </w:rPr>
        <w:t>(기준판매비율 이론값 0.78과 부합). 서로 독립된 두 기관 자료가 맞아떨어져 신뢰성이 상호 입증됨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2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주종–제품</w:t>
            </w:r>
            <w:r>
              <w:rPr>
                <w:b/>
                <w:color w:val="111111"/>
                <w:sz w:val="32"/>
              </w:rPr>
              <w:t xml:space="preserve"> 단위 (DART 전자공시)</w:t>
            </w:r>
          </w:p>
        </w:tc>
      </w:tr>
    </w:tbl>
    <w:p>
      <w:pPr>
        <w:pStyle w:val="0"/>
        <w:widowControl w:val="off"/>
        <w:spacing w:after="100"/>
        <w:ind w:left="340" w:hanging="340"/>
      </w:pPr>
    </w:p>
    <w:p>
      <w:pPr>
        <w:pStyle w:val="0"/>
        <w:widowControl w:val="off"/>
        <w:spacing w:after="100"/>
      </w:pPr>
      <w:r>
        <w:rPr>
          <w:b/>
          <w:color w:val="111111"/>
          <w:sz w:val="22"/>
        </w:rPr>
        <w:t>표 2. 기업 공시 기반 제품 단위 데이터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6"/>
      </w:tblGrid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데이터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내용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출처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기간·주기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제품 출고가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주요 제품(참이슬 등) 상자당 출고가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DART 전자공시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2012~2025 · 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원가·매출·생산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원재료비·부문별 매출·생산실적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DART 전자공시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연</w:t>
            </w:r>
          </w:p>
        </w:tc>
      </w:tr>
    </w:tbl>
    <w:p>
      <w:pPr>
        <w:pStyle w:val="0"/>
        <w:widowControl w:val="off"/>
        <w:spacing w:after="10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참이슬 출고가(원/상자) : </w:t>
      </w:r>
      <w:r>
        <w:rPr>
          <w:b/>
          <w:color w:val="1a1a1a"/>
        </w:rPr>
        <w:t xml:space="preserve">28,851(2012) </w:t>
      </w:r>
      <w:r>
        <w:rPr>
          <w:b/>
          <w:color w:val="1a1a1a"/>
        </w:rPr>
        <w:t>→</w:t>
      </w:r>
      <w:r>
        <w:rPr>
          <w:b/>
          <w:color w:val="1a1a1a"/>
        </w:rPr>
        <w:t xml:space="preserve"> 32,436(2019) </w:t>
      </w:r>
      <w:r>
        <w:rPr>
          <w:b/>
          <w:color w:val="1a1a1a"/>
        </w:rPr>
        <w:t>→</w:t>
      </w:r>
      <w:r>
        <w:rPr>
          <w:b/>
          <w:color w:val="1a1a1a"/>
        </w:rPr>
        <w:t xml:space="preserve"> 34,998(2022) </w:t>
      </w:r>
      <w:r>
        <w:rPr>
          <w:b/>
          <w:color w:val="1a1a1a"/>
        </w:rPr>
        <w:t>→</w:t>
      </w:r>
      <w:r>
        <w:rPr>
          <w:b/>
          <w:color w:val="1a1a1a"/>
        </w:rPr>
        <w:t xml:space="preserve"> 33,450(2023~2025)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회사마다 인상 시점이 엇갈림 </w:t>
      </w:r>
      <w:r>
        <w:rPr>
          <w:color w:val="1a1a1a"/>
        </w:rPr>
        <w:t>—</w:t>
      </w:r>
      <w:r>
        <w:rPr>
          <w:color w:val="1a1a1a"/>
        </w:rPr>
        <w:t xml:space="preserve"> 참이슬 2019년 인상 시 무학 화이트 동결, 화이트 2020년 인상 시 참이슬 동결. 이 </w:t>
      </w:r>
      <w:r>
        <w:rPr>
          <w:b/>
          <w:color w:val="1a1a1a"/>
        </w:rPr>
        <w:t>엇갈림이 탄력성 식별에 쓸 가격 변동</w:t>
      </w:r>
      <w:r>
        <w:rPr>
          <w:color w:val="1a1a1a"/>
        </w:rPr>
        <w:t>임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3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가구 단위 (미시데이터)</w:t>
            </w:r>
          </w:p>
        </w:tc>
      </w:tr>
    </w:tbl>
    <w:p>
      <w:pPr>
        <w:pStyle w:val="0"/>
        <w:widowControl w:val="off"/>
        <w:spacing w:after="100"/>
        <w:ind w:left="340" w:hanging="340"/>
      </w:pPr>
    </w:p>
    <w:p>
      <w:pPr>
        <w:pStyle w:val="0"/>
        <w:widowControl w:val="off"/>
        <w:spacing w:after="100"/>
      </w:pPr>
      <w:r>
        <w:rPr>
          <w:b/>
          <w:color w:val="111111"/>
          <w:sz w:val="22"/>
        </w:rPr>
        <w:t>표 3. 가구 단위 보유 데이터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126"/>
        <w:gridCol w:w="2126"/>
        <w:gridCol w:w="2126"/>
      </w:tblGrid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데이터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내용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규모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기간·주기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재정패널(NaSTaB)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가정용 주류지출·소득·소비·거주지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약 4,740~8,798가구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1~17차(2008~2024)</w:t>
            </w:r>
          </w:p>
        </w:tc>
      </w:tr>
      <w:tr>
        <w:trPr>
          <w:trHeight w:val="56"/>
        </w:trPr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가계동향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소득분위별 주류지출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10분위</w:t>
            </w:r>
          </w:p>
        </w:tc>
        <w:tc>
          <w:tcPr>
            <w:tcW w:w="2126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연</w:t>
            </w:r>
          </w:p>
        </w:tc>
      </w:tr>
    </w:tbl>
    <w:p>
      <w:pPr>
        <w:pStyle w:val="0"/>
        <w:widowControl w:val="off"/>
        <w:spacing w:after="10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재정패널 주요 변수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주류비(맥주·소주·양주 / 와인·막걸리)·소득·소비·거주 시도(1~17차, 17개 시도)·가중치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한계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두 자료 모두 지출금액만 있고 가격·수량 없음. 가정용만 포착(술집 술은 외식비에 합산). 가계동향은 주종·지역 구분 없음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56"/>
        </w:trPr>
        <w:tc>
          <w:tcPr>
            <w:tcW w:w="8504" w:type="dxa"/>
            <w:tcBorders>
              <w:top w:val="single" w:color="c9d3e4" w:sz="3"/>
              <w:left w:val="single" w:color="1f4e9c" w:sz="23"/>
              <w:bottom w:val="single" w:color="c9d3e4" w:sz="3"/>
              <w:right w:val="single" w:color="c9d3e4" w:sz="3"/>
            </w:tcBorders>
            <w:shd w:val="clear" w:fill="f6f9ff"/>
            <w:tcMar>
              <w:top w:w="198" w:type="dxa"/>
              <w:left w:w="283" w:type="dxa"/>
              <w:bottom w:w="198" w:type="dxa"/>
              <w:right w:w="283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b/>
                <w:sz w:val="20"/>
              </w:rPr>
              <w:t>※</w:t>
            </w:r>
            <w:r>
              <w:rPr>
                <w:b/>
                <w:sz w:val="20"/>
              </w:rPr>
              <w:t xml:space="preserve"> 미시데이터 취급</w:t>
            </w:r>
            <w:r>
              <w:br/>
              <w:rPr>
                <w:sz w:val="20"/>
              </w:rPr>
              <w:t>재정패널 원자료는 한국조세재정연구원 승인분(비공개)이며, 포털에는 집계·변수 설명만 공개함</w:t>
            </w:r>
          </w:p>
        </w:tc>
      </w:tr>
    </w:tbl>
    <w:p>
      <w:pPr>
        <w:pStyle w:val="0"/>
        <w:widowControl w:val="off"/>
        <w:spacing w:after="100"/>
        <w:ind w:left="340" w:hanging="340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4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보조 자료</w:t>
            </w:r>
          </w:p>
        </w:tc>
      </w:tr>
    </w:tbl>
    <w:p>
      <w:pPr>
        <w:pStyle w:val="0"/>
        <w:widowControl w:val="off"/>
        <w:spacing w:after="100"/>
        <w:ind w:left="340" w:hanging="34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정책·가격 이벤트 타임라인(1968~2025), 뉴스 담론(어젠다·볼륨·감성), 선행문헌 매트릭스, 산업연관표 등 </w:t>
      </w:r>
      <w:r>
        <w:rPr>
          <w:b/>
          <w:color w:val="1a1a1a"/>
        </w:rPr>
        <w:t>맥락·근거 자료</w:t>
      </w:r>
      <w:r>
        <w:rPr>
          <w:color w:val="1a1a1a"/>
        </w:rPr>
        <w:t>를 함께 보유함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5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산출물 (그림)</w:t>
            </w:r>
          </w:p>
        </w:tc>
      </w:tr>
    </w:tbl>
    <w:p>
      <w:pPr>
        <w:pStyle w:val="0"/>
        <w:widowControl w:val="off"/>
        <w:spacing w:after="100"/>
        <w:ind w:left="340" w:hanging="34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그림 1. 전가 사건연구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그림 2. 주종별 세전출고가 지수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color w:val="1a1a1a"/>
        </w:rPr>
        <w:t xml:space="preserve"> 그림 3. 출고량 추이(2006~2024)</w:t>
      </w:r>
    </w:p>
    <w:p>
      <w:pPr>
        <w:pStyle w:val="0"/>
        <w:widowControl w:val="off"/>
        <w:spacing w:after="100"/>
        <w:ind w:left="283" w:hanging="283"/>
      </w:pPr>
      <w:r>
        <w:rPr>
          <w:color w:val="333333"/>
        </w:rPr>
        <w:t>* 모두 300dpi PNG + 벡터 PDF로 제작, 흑백 인쇄 시에도 선종·마커로 구분됨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6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아직 확보하지 않은 공개 자료</w:t>
            </w:r>
          </w:p>
        </w:tc>
      </w:tr>
    </w:tbl>
    <w:p>
      <w:pPr>
        <w:pStyle w:val="0"/>
        <w:widowControl w:val="off"/>
        <w:spacing w:after="100"/>
        <w:ind w:left="283" w:hanging="283"/>
      </w:pPr>
    </w:p>
    <w:p>
      <w:pPr>
        <w:pStyle w:val="0"/>
        <w:widowControl w:val="off"/>
        <w:spacing w:after="100"/>
      </w:pPr>
      <w:r>
        <w:rPr>
          <w:b/>
          <w:color w:val="111111"/>
          <w:sz w:val="22"/>
        </w:rPr>
        <w:t>표 4. 추가 확보 예정 공개 자료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자료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출처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용도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교육세 세원별 현황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국세청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교육세 통일 시뮬레이션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주류 판매면허 현황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국세청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소상공인 분석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품목별 주세 실적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관세청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수입 주류 보정(위스키)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세목별 세수 현황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국세청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주세/국세 비중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산업연관표 기본부문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sz w:val="20"/>
              </w:rPr>
              <w:t>한국은행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연관산업·GDP 파급</w:t>
            </w:r>
          </w:p>
        </w:tc>
      </w:tr>
    </w:tbl>
    <w:p>
      <w:pPr>
        <w:pStyle w:val="0"/>
        <w:widowControl w:val="off"/>
        <w:spacing w:after="100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7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 xml:space="preserve">공개 자료로 확보 불가 </w:t>
            </w:r>
            <w:r>
              <w:rPr>
                <w:b/>
                <w:color w:val="111111"/>
                <w:sz w:val="32"/>
              </w:rPr>
              <w:t>—</w:t>
            </w:r>
            <w:r>
              <w:rPr>
                <w:b/>
                <w:color w:val="111111"/>
                <w:sz w:val="32"/>
              </w:rPr>
              <w:t xml:space="preserve"> 협회 협조 필요</w:t>
            </w:r>
          </w:p>
        </w:tc>
      </w:tr>
    </w:tbl>
    <w:p>
      <w:pPr>
        <w:pStyle w:val="0"/>
        <w:widowControl w:val="off"/>
        <w:spacing w:after="100"/>
      </w:pPr>
    </w:p>
    <w:p>
      <w:pPr>
        <w:pStyle w:val="0"/>
        <w:widowControl w:val="off"/>
        <w:spacing w:after="100"/>
      </w:pPr>
      <w:r>
        <w:rPr>
          <w:b/>
          <w:color w:val="111111"/>
          <w:sz w:val="22"/>
        </w:rPr>
        <w:t>표 5. 공백과 사유(자료요청서 참조)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2"/>
        <w:gridCol w:w="4252"/>
      </w:tblGrid>
      <w:tr>
        <w:trPr>
          <w:trHeight w:val="56"/>
        </w:trPr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공백</w:t>
            </w:r>
          </w:p>
        </w:tc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사유</w:t>
            </w:r>
          </w:p>
        </w:tc>
      </w:tr>
      <w:tr>
        <w:trPr>
          <w:trHeight w:val="56"/>
        </w:trPr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월·분기 출고량·매출</w:t>
            </w:r>
          </w:p>
        </w:tc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공개 통계는 연 단위만 존재</w:t>
            </w:r>
          </w:p>
        </w:tc>
      </w:tr>
      <w:tr>
        <w:trPr>
          <w:trHeight w:val="56"/>
        </w:trPr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제품·채널별 판매</w:t>
            </w:r>
          </w:p>
        </w:tc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가정용/업소용 구분 자료 부재</w:t>
            </w:r>
          </w:p>
        </w:tc>
      </w:tr>
      <w:tr>
        <w:trPr>
          <w:trHeight w:val="56"/>
        </w:trPr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소상공인 매출 미시</w:t>
            </w:r>
          </w:p>
        </w:tc>
        <w:tc>
          <w:tcPr>
            <w:tcW w:w="425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sz w:val="20"/>
              </w:rPr>
              <w:t>업종·지역별 세부 자료 제한</w:t>
            </w:r>
          </w:p>
        </w:tc>
      </w:tr>
    </w:tbl>
    <w:p>
      <w:pPr>
        <w:pStyle w:val="0"/>
        <w:widowControl w:val="off"/>
        <w:spacing w:after="100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b/>
                <w:color w:val="ffffff"/>
                <w:sz w:val="30"/>
              </w:rPr>
              <w:t>8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b/>
                <w:color w:val="111111"/>
                <w:sz w:val="32"/>
              </w:rPr>
              <w:t>반드시 유의할 데이터 함정</w:t>
            </w:r>
          </w:p>
        </w:tc>
      </w:tr>
    </w:tbl>
    <w:p>
      <w:pPr>
        <w:pStyle w:val="0"/>
        <w:widowControl w:val="off"/>
        <w:spacing w:after="100"/>
      </w:pP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분류 불일치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식약처 '소주' = 국세청 '희석식소주 + 증류식소주'. 분모를 맞추지 않으면 단가가 왜곡됨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종량세 주종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맥주·탁주(2020~)는 국세청 과세표준 단위가 원이 아니라 </w:t>
      </w:r>
      <w:r>
        <w:rPr>
          <w:color w:val="1a1a1a"/>
        </w:rPr>
        <w:t>㎘</w:t>
      </w:r>
      <w:r>
        <w:rPr>
          <w:color w:val="1a1a1a"/>
        </w:rPr>
        <w:t>. 출고량으로 나누면 무의미한 값이 나옴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2024년 이후 과세표준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기준판매비율로 22% 차감되어 더 이상 출고가가 아니라 과세 기준금액임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위스키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대부분 수입이라 식약처(국내제조분)와 국세청 출고량이 어긋남. 관세청 자료로 보완 필요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2023년 결측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국세청 통계에만 없음(식약처엔 존재)</w:t>
      </w:r>
    </w:p>
    <w:p>
      <w:pPr>
        <w:pStyle w:val="0"/>
        <w:widowControl w:val="off"/>
        <w:spacing w:after="100"/>
        <w:ind w:left="340" w:hanging="340"/>
      </w:pPr>
      <w:r>
        <w:rPr>
          <w:b/>
          <w:color w:val="1f4e9c"/>
        </w:rPr>
        <w:t>❍</w:t>
      </w:r>
      <w:r>
        <w:rPr>
          <w:b/>
          <w:color w:val="1a1a1a"/>
        </w:rPr>
        <w:t>2020년 물가</w:t>
      </w:r>
      <w:r>
        <w:rPr>
          <w:color w:val="1a1a1a"/>
        </w:rPr>
        <w:t xml:space="preserve"> </w:t>
      </w:r>
      <w:r>
        <w:rPr>
          <w:color w:val="1a1a1a"/>
        </w:rPr>
        <w:t>—</w:t>
      </w:r>
      <w:r>
        <w:rPr>
          <w:color w:val="1a1a1a"/>
        </w:rPr>
        <w:t xml:space="preserve"> 지수 기준연도라 지역 간 격차가 0. 지역 비교 시 반드시 제외함</w:t>
      </w:r>
    </w:p>
    <w:sectPr>
      <w:footerReference w:type="default" r:id="rId3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맑은 고딕" w:hAnsi="맑은 고딕" w:eastAsia="맑은 고딕"/>
        <w:sz w:val="19"/>
      </w:rPr>
      <w:t xml:space="preserve">- </w:t>
    </w:r>
    <w:fldSimple w:instr="PAGE">
      <w:r>
        <w:t>1</w:t>
      </w:r>
    </w:fldSimple>
    <w:r>
      <w:rPr>
        <w:rFonts w:ascii="맑은 고딕" w:hAnsi="맑은 고딕" w:eastAsia="맑은 고딕"/>
        <w:sz w:val="19"/>
      </w:rPr>
      <w:t xml:space="preserve"> -</w:t>
    </w:r>
  </w:p>
</w:ftr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2"/>
    </w:rPr>
  </w:style>
  <w:style w:type="paragraph" w:styleId="1">
    <w:name w:val="BODY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1a1a1a"/>
      <w:sz w:val="22"/>
    </w:rPr>
  </w:style>
  <w:style w:type="paragraph" w:styleId="2">
    <w:name w:val=".DOC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oter" Target="footer1.xml"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주세 정책이 경제·물가에 미치는 영향 연구 — 데이터 현황</dc:title>
  <cp:lastModifiedBy>cha 001</cp:lastModifiedBy>
  <dcterms:created xsi:type="dcterms:W3CDTF">2026-07-16T04:22:16.930</dcterms:created>
  <dcterms:modified xsi:type="dcterms:W3CDTF">2026-07-16T04:22:18.173</dcterms:modified>
  <cp:version>0501.0100.01</cp:version>
</cp:coreProperties>
</file>