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맑은 고딕" w:hAnsi="맑은 고딕" w:eastAsia="맑은 고딕"/>
          <w:b/>
          <w:sz w:val="32"/>
        </w:rPr>
        <w:t>전국 공동주택 공시가격의 현실화율과 수직형평성 분석</w:t>
      </w:r>
    </w:p>
    <w:p>
      <w:pPr>
        <w:spacing w:after="280" w:line="312" w:lineRule="auto"/>
        <w:jc w:val="center"/>
      </w:pPr>
      <w:r>
        <w:rPr>
          <w:rFonts w:ascii="맑은 고딕" w:hAnsi="맑은 고딕" w:eastAsia="맑은 고딕"/>
          <w:b w:val="0"/>
          <w:i w:val="0"/>
          <w:sz w:val="22"/>
        </w:rPr>
        <w:t>— 아파트와 연립다세대의 실거래가 대비 전국 분석 (2019–2026) —</w:t>
      </w:r>
    </w:p>
    <w:p>
      <w:pPr>
        <w:pStyle w:val="Heading1"/>
      </w:pPr>
      <w:r>
        <w:rPr>
          <w:rFonts w:ascii="맑은 고딕" w:hAnsi="맑은 고딕" w:eastAsia="맑은 고딕"/>
          <w:b/>
        </w:rPr>
        <w:t>1. 연구 목적</w:t>
      </w:r>
    </w:p>
    <w:p>
      <w:pPr>
        <w:spacing w:after="120" w:line="312" w:lineRule="auto"/>
      </w:pPr>
      <w:r>
        <w:rPr>
          <w:rFonts w:ascii="맑은 고딕" w:hAnsi="맑은 고딕" w:eastAsia="맑은 고딕"/>
          <w:b w:val="0"/>
          <w:i w:val="0"/>
          <w:sz w:val="20"/>
        </w:rPr>
        <w:t>본 연구는 주택 공시가격이 실거래가(시장가치)를 얼마나 정확하고 공정하게 반영하는지를 전국 규모로 검증한다. 공시가격은 재산세·종합부동산세 등 보유세와 건강보험료·복지수급 판정의 과세·행정 기준이므로, 공시가격의 정확성(현실화율)과 자산가치에 따른 형평성(수직형평성)은 조세 정의와 직결된다. 구체적으로 (i) 현실화율 수준과 2019–2026년 시계열 추이, (ii) 고가 주택이 상대적으로 저평가되는 역진성, (iii) 유형 간·지역 간 형평성 격차를, 전국의 아파트와 연립다세대를 대상으로 분석한다.</w:t>
      </w:r>
    </w:p>
    <w:p>
      <w:pPr>
        <w:pStyle w:val="Heading1"/>
      </w:pPr>
      <w:r>
        <w:rPr>
          <w:rFonts w:ascii="맑은 고딕" w:hAnsi="맑은 고딕" w:eastAsia="맑은 고딕"/>
          <w:b/>
        </w:rPr>
        <w:t>2. 자료 및 방법</w:t>
      </w:r>
    </w:p>
    <w:p>
      <w:pPr>
        <w:pStyle w:val="Heading2"/>
      </w:pPr>
      <w:r>
        <w:rPr>
          <w:rFonts w:ascii="맑은 고딕" w:hAnsi="맑은 고딕" w:eastAsia="맑은 고딕"/>
          <w:b/>
        </w:rPr>
        <w:t>2.1 자료 및 표본</w:t>
      </w:r>
    </w:p>
    <w:p>
      <w:pPr>
        <w:spacing w:after="120" w:line="312" w:lineRule="auto"/>
      </w:pPr>
      <w:r>
        <w:rPr>
          <w:rFonts w:ascii="맑은 고딕" w:hAnsi="맑은 고딕" w:eastAsia="맑은 고딕"/>
          <w:b w:val="0"/>
          <w:i w:val="0"/>
          <w:sz w:val="20"/>
        </w:rPr>
        <w:t>실거래가는 국토교통부 실거래가 공개시스템의 전국 아파트·연립다세대 매매 신고자료(2019–2026년)를, 공동주택 공시가격은 국토교통부 공간정보(VWorld) 공동주택가격 속성자료를 사용하였다. 두 자료는 필지고유번호(PNU, 법정동코드+지번), 전용면적, 거래연도를 해당 연도 공시기준일(1월 1일)과 일치시켜 호(戶) 단위로 결합하였다. 현실화율 이상치(0.1 미만 또는 1.5 초과)를 제외한 최종 분석표본은 3,952,751건(아파트 3,156,563, 연립다세대 796,188)이다.</w:t>
      </w:r>
    </w:p>
    <w:p>
      <w:pPr>
        <w:pStyle w:val="Heading2"/>
      </w:pPr>
      <w:r>
        <w:rPr>
          <w:rFonts w:ascii="맑은 고딕" w:hAnsi="맑은 고딕" w:eastAsia="맑은 고딕"/>
          <w:b/>
        </w:rPr>
        <w:t>2.2 현실화율 및 수직형평성 지표</w:t>
      </w:r>
    </w:p>
    <w:p>
      <w:pPr>
        <w:spacing w:after="120" w:line="312" w:lineRule="auto"/>
      </w:pPr>
      <w:r>
        <w:rPr>
          <w:rFonts w:ascii="맑은 고딕" w:hAnsi="맑은 고딕" w:eastAsia="맑은 고딕"/>
          <w:b w:val="0"/>
          <w:i w:val="0"/>
          <w:sz w:val="20"/>
        </w:rPr>
        <w:t>현실화율은 공시가격을 실거래가로 나눈 값으로 정의한다. 수직형평성은 국제 감정평가기준(IAAO)의 세 지표로 검정한다. 균일성계수(COD)는 현실화율의 균일성으로 낮을수록 양호(주거용 15 이하 권장), 가격관련차등지수(PRD)는 1.03 초과 시 역진·0.98 미만 시 누진, 가격관련편의지수(PRB)는 회귀 기반 지표로 음(−)이면 역진이며 절댓값 0.05 이하를 형평으로 본다.</w:t>
      </w:r>
    </w:p>
    <w:p>
      <w:pPr>
        <w:pStyle w:val="Heading2"/>
      </w:pPr>
      <w:r>
        <w:rPr>
          <w:rFonts w:ascii="맑은 고딕" w:hAnsi="맑은 고딕" w:eastAsia="맑은 고딕"/>
          <w:b/>
        </w:rPr>
        <w:t>2.3 분석모형</w:t>
      </w:r>
    </w:p>
    <w:p>
      <w:pPr>
        <w:spacing w:after="120" w:line="312" w:lineRule="auto"/>
      </w:pPr>
      <w:r>
        <w:rPr>
          <w:rFonts w:ascii="맑은 고딕" w:hAnsi="맑은 고딕" w:eastAsia="맑은 고딕"/>
          <w:b w:val="0"/>
          <w:i w:val="0"/>
          <w:sz w:val="20"/>
        </w:rPr>
        <w:t>역진성의 통계적 검정을 위해 현실화율을 ln(실거래가), ln(전용면적), 건축연령, 연도·지역 고정효과에 회귀한다(강건표준오차 HC1). ln(실거래가) 계수가 음이고 유의하면 가격이 높을수록 현실화율이 낮아지는 역진성을 의미하며, 유형 간 차이는 ln(실거래가)×유형 상호작용으로 검정한다.</w:t>
      </w:r>
    </w:p>
    <w:p>
      <w:pPr>
        <w:pStyle w:val="Heading1"/>
      </w:pPr>
      <w:r>
        <w:rPr>
          <w:rFonts w:ascii="맑은 고딕" w:hAnsi="맑은 고딕" w:eastAsia="맑은 고딕"/>
          <w:b/>
        </w:rPr>
        <w:t>3. 분석 결과</w:t>
      </w:r>
    </w:p>
    <w:p>
      <w:pPr>
        <w:spacing w:after="60" w:line="312" w:lineRule="auto"/>
      </w:pPr>
      <w:r>
        <w:rPr>
          <w:rFonts w:ascii="맑은 고딕" w:hAnsi="맑은 고딕" w:eastAsia="맑은 고딕"/>
          <w:b/>
          <w:i w:val="0"/>
          <w:sz w:val="20"/>
        </w:rPr>
        <w:t>표 1. 기술통계 (전국, N = 3,952,751)</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551"/>
            <w:shd w:val="clear" w:color="auto" w:fill="D9E2F3"/>
          </w:tcPr>
          <w:p>
            <w:pPr>
              <w:jc w:val="center"/>
            </w:pPr>
            <w:r/>
            <w:r>
              <w:rPr>
                <w:rFonts w:ascii="맑은 고딕" w:hAnsi="맑은 고딕" w:eastAsia="맑은 고딕"/>
                <w:b/>
                <w:sz w:val="18"/>
              </w:rPr>
              <w:t>변수</w:t>
            </w:r>
          </w:p>
        </w:tc>
        <w:tc>
          <w:tcPr>
            <w:tcW w:type="dxa" w:w="2154"/>
            <w:shd w:val="clear" w:color="auto" w:fill="D9E2F3"/>
          </w:tcPr>
          <w:p>
            <w:pPr>
              <w:jc w:val="center"/>
            </w:pPr>
            <w:r/>
            <w:r>
              <w:rPr>
                <w:rFonts w:ascii="맑은 고딕" w:hAnsi="맑은 고딕" w:eastAsia="맑은 고딕"/>
                <w:b/>
                <w:sz w:val="18"/>
              </w:rPr>
              <w:t>아파트 (N=3,156,563)</w:t>
            </w:r>
          </w:p>
        </w:tc>
        <w:tc>
          <w:tcPr>
            <w:tcW w:type="dxa" w:w="2154"/>
            <w:shd w:val="clear" w:color="auto" w:fill="D9E2F3"/>
          </w:tcPr>
          <w:p>
            <w:pPr>
              <w:jc w:val="center"/>
            </w:pPr>
            <w:r/>
            <w:r>
              <w:rPr>
                <w:rFonts w:ascii="맑은 고딕" w:hAnsi="맑은 고딕" w:eastAsia="맑은 고딕"/>
                <w:b/>
                <w:sz w:val="18"/>
              </w:rPr>
              <w:t>연립다세대 (N=796,188)</w:t>
            </w:r>
          </w:p>
        </w:tc>
        <w:tc>
          <w:tcPr>
            <w:tcW w:type="dxa" w:w="2154"/>
            <w:shd w:val="clear" w:color="auto" w:fill="D9E2F3"/>
          </w:tcPr>
          <w:p>
            <w:pPr>
              <w:jc w:val="center"/>
            </w:pPr>
            <w:r/>
            <w:r>
              <w:rPr>
                <w:rFonts w:ascii="맑은 고딕" w:hAnsi="맑은 고딕" w:eastAsia="맑은 고딕"/>
                <w:b/>
                <w:sz w:val="18"/>
              </w:rPr>
              <w:t>전체 (N=3,952,751)</w:t>
            </w:r>
          </w:p>
        </w:tc>
      </w:tr>
      <w:tr>
        <w:tc>
          <w:tcPr>
            <w:tcW w:type="dxa" w:w="2551"/>
          </w:tcPr>
          <w:p>
            <w:pPr>
              <w:jc w:val="left"/>
            </w:pPr>
            <w:r/>
            <w:r>
              <w:rPr>
                <w:rFonts w:ascii="맑은 고딕" w:hAnsi="맑은 고딕" w:eastAsia="맑은 고딕"/>
                <w:sz w:val="18"/>
              </w:rPr>
              <w:t>실거래가 평균(억원)</w:t>
            </w:r>
          </w:p>
        </w:tc>
        <w:tc>
          <w:tcPr>
            <w:tcW w:type="dxa" w:w="2154"/>
          </w:tcPr>
          <w:p>
            <w:pPr>
              <w:jc w:val="center"/>
            </w:pPr>
            <w:r/>
            <w:r>
              <w:rPr>
                <w:rFonts w:ascii="맑은 고딕" w:hAnsi="맑은 고딕" w:eastAsia="맑은 고딕"/>
                <w:sz w:val="18"/>
              </w:rPr>
              <w:t>4.37</w:t>
            </w:r>
          </w:p>
        </w:tc>
        <w:tc>
          <w:tcPr>
            <w:tcW w:type="dxa" w:w="2154"/>
          </w:tcPr>
          <w:p>
            <w:pPr>
              <w:jc w:val="center"/>
            </w:pPr>
            <w:r/>
            <w:r>
              <w:rPr>
                <w:rFonts w:ascii="맑은 고딕" w:hAnsi="맑은 고딕" w:eastAsia="맑은 고딕"/>
                <w:sz w:val="18"/>
              </w:rPr>
              <w:t>2.21</w:t>
            </w:r>
          </w:p>
        </w:tc>
        <w:tc>
          <w:tcPr>
            <w:tcW w:type="dxa" w:w="2154"/>
          </w:tcPr>
          <w:p>
            <w:pPr>
              <w:jc w:val="center"/>
            </w:pPr>
            <w:r/>
            <w:r>
              <w:rPr>
                <w:rFonts w:ascii="맑은 고딕" w:hAnsi="맑은 고딕" w:eastAsia="맑은 고딕"/>
                <w:sz w:val="18"/>
              </w:rPr>
              <w:t>3.94</w:t>
            </w:r>
          </w:p>
        </w:tc>
      </w:tr>
      <w:tr>
        <w:tc>
          <w:tcPr>
            <w:tcW w:type="dxa" w:w="2551"/>
          </w:tcPr>
          <w:p>
            <w:pPr>
              <w:jc w:val="left"/>
            </w:pPr>
            <w:r/>
            <w:r>
              <w:rPr>
                <w:rFonts w:ascii="맑은 고딕" w:hAnsi="맑은 고딕" w:eastAsia="맑은 고딕"/>
                <w:sz w:val="18"/>
              </w:rPr>
              <w:t>실거래가 중앙(억원)</w:t>
            </w:r>
          </w:p>
        </w:tc>
        <w:tc>
          <w:tcPr>
            <w:tcW w:type="dxa" w:w="2154"/>
          </w:tcPr>
          <w:p>
            <w:pPr>
              <w:jc w:val="center"/>
            </w:pPr>
            <w:r/>
            <w:r>
              <w:rPr>
                <w:rFonts w:ascii="맑은 고딕" w:hAnsi="맑은 고딕" w:eastAsia="맑은 고딕"/>
                <w:sz w:val="18"/>
              </w:rPr>
              <w:t>3.09</w:t>
            </w:r>
          </w:p>
        </w:tc>
        <w:tc>
          <w:tcPr>
            <w:tcW w:type="dxa" w:w="2154"/>
          </w:tcPr>
          <w:p>
            <w:pPr>
              <w:jc w:val="center"/>
            </w:pPr>
            <w:r/>
            <w:r>
              <w:rPr>
                <w:rFonts w:ascii="맑은 고딕" w:hAnsi="맑은 고딕" w:eastAsia="맑은 고딕"/>
                <w:sz w:val="18"/>
              </w:rPr>
              <w:t>1.70</w:t>
            </w:r>
          </w:p>
        </w:tc>
        <w:tc>
          <w:tcPr>
            <w:tcW w:type="dxa" w:w="2154"/>
          </w:tcPr>
          <w:p>
            <w:pPr>
              <w:jc w:val="center"/>
            </w:pPr>
            <w:r/>
            <w:r>
              <w:rPr>
                <w:rFonts w:ascii="맑은 고딕" w:hAnsi="맑은 고딕" w:eastAsia="맑은 고딕"/>
                <w:sz w:val="18"/>
              </w:rPr>
              <w:t>2.73</w:t>
            </w:r>
          </w:p>
        </w:tc>
      </w:tr>
      <w:tr>
        <w:tc>
          <w:tcPr>
            <w:tcW w:type="dxa" w:w="2551"/>
          </w:tcPr>
          <w:p>
            <w:pPr>
              <w:jc w:val="left"/>
            </w:pPr>
            <w:r/>
            <w:r>
              <w:rPr>
                <w:rFonts w:ascii="맑은 고딕" w:hAnsi="맑은 고딕" w:eastAsia="맑은 고딕"/>
                <w:sz w:val="18"/>
              </w:rPr>
              <w:t>공시가격 평균(억원)</w:t>
            </w:r>
          </w:p>
        </w:tc>
        <w:tc>
          <w:tcPr>
            <w:tcW w:type="dxa" w:w="2154"/>
          </w:tcPr>
          <w:p>
            <w:pPr>
              <w:jc w:val="center"/>
            </w:pPr>
            <w:r/>
            <w:r>
              <w:rPr>
                <w:rFonts w:ascii="맑은 고딕" w:hAnsi="맑은 고딕" w:eastAsia="맑은 고딕"/>
                <w:sz w:val="18"/>
              </w:rPr>
              <w:t>2.69</w:t>
            </w:r>
          </w:p>
        </w:tc>
        <w:tc>
          <w:tcPr>
            <w:tcW w:type="dxa" w:w="2154"/>
          </w:tcPr>
          <w:p>
            <w:pPr>
              <w:jc w:val="center"/>
            </w:pPr>
            <w:r/>
            <w:r>
              <w:rPr>
                <w:rFonts w:ascii="맑은 고딕" w:hAnsi="맑은 고딕" w:eastAsia="맑은 고딕"/>
                <w:sz w:val="18"/>
              </w:rPr>
              <w:t>1.26</w:t>
            </w:r>
          </w:p>
        </w:tc>
        <w:tc>
          <w:tcPr>
            <w:tcW w:type="dxa" w:w="2154"/>
          </w:tcPr>
          <w:p>
            <w:pPr>
              <w:jc w:val="center"/>
            </w:pPr>
            <w:r/>
            <w:r>
              <w:rPr>
                <w:rFonts w:ascii="맑은 고딕" w:hAnsi="맑은 고딕" w:eastAsia="맑은 고딕"/>
                <w:sz w:val="18"/>
              </w:rPr>
              <w:t>2.40</w:t>
            </w:r>
          </w:p>
        </w:tc>
      </w:tr>
      <w:tr>
        <w:tc>
          <w:tcPr>
            <w:tcW w:type="dxa" w:w="2551"/>
          </w:tcPr>
          <w:p>
            <w:pPr>
              <w:jc w:val="left"/>
            </w:pPr>
            <w:r/>
            <w:r>
              <w:rPr>
                <w:rFonts w:ascii="맑은 고딕" w:hAnsi="맑은 고딕" w:eastAsia="맑은 고딕"/>
                <w:sz w:val="18"/>
              </w:rPr>
              <w:t>전용면적 평균(㎡)</w:t>
            </w:r>
          </w:p>
        </w:tc>
        <w:tc>
          <w:tcPr>
            <w:tcW w:type="dxa" w:w="2154"/>
          </w:tcPr>
          <w:p>
            <w:pPr>
              <w:jc w:val="center"/>
            </w:pPr>
            <w:r/>
            <w:r>
              <w:rPr>
                <w:rFonts w:ascii="맑은 고딕" w:hAnsi="맑은 고딕" w:eastAsia="맑은 고딕"/>
                <w:sz w:val="18"/>
              </w:rPr>
              <w:t>75.0</w:t>
            </w:r>
          </w:p>
        </w:tc>
        <w:tc>
          <w:tcPr>
            <w:tcW w:type="dxa" w:w="2154"/>
          </w:tcPr>
          <w:p>
            <w:pPr>
              <w:jc w:val="center"/>
            </w:pPr>
            <w:r/>
            <w:r>
              <w:rPr>
                <w:rFonts w:ascii="맑은 고딕" w:hAnsi="맑은 고딕" w:eastAsia="맑은 고딕"/>
                <w:sz w:val="18"/>
              </w:rPr>
              <w:t>50.3</w:t>
            </w:r>
          </w:p>
        </w:tc>
        <w:tc>
          <w:tcPr>
            <w:tcW w:type="dxa" w:w="2154"/>
          </w:tcPr>
          <w:p>
            <w:pPr>
              <w:jc w:val="center"/>
            </w:pPr>
            <w:r/>
            <w:r>
              <w:rPr>
                <w:rFonts w:ascii="맑은 고딕" w:hAnsi="맑은 고딕" w:eastAsia="맑은 고딕"/>
                <w:sz w:val="18"/>
              </w:rPr>
              <w:t>70.0</w:t>
            </w:r>
          </w:p>
        </w:tc>
      </w:tr>
      <w:tr>
        <w:tc>
          <w:tcPr>
            <w:tcW w:type="dxa" w:w="2551"/>
          </w:tcPr>
          <w:p>
            <w:pPr>
              <w:jc w:val="left"/>
            </w:pPr>
            <w:r/>
            <w:r>
              <w:rPr>
                <w:rFonts w:ascii="맑은 고딕" w:hAnsi="맑은 고딕" w:eastAsia="맑은 고딕"/>
                <w:sz w:val="18"/>
              </w:rPr>
              <w:t>건축연령 평균(년)</w:t>
            </w:r>
          </w:p>
        </w:tc>
        <w:tc>
          <w:tcPr>
            <w:tcW w:type="dxa" w:w="2154"/>
          </w:tcPr>
          <w:p>
            <w:pPr>
              <w:jc w:val="center"/>
            </w:pPr>
            <w:r/>
            <w:r>
              <w:rPr>
                <w:rFonts w:ascii="맑은 고딕" w:hAnsi="맑은 고딕" w:eastAsia="맑은 고딕"/>
                <w:sz w:val="18"/>
              </w:rPr>
              <w:t>18.4</w:t>
            </w:r>
          </w:p>
        </w:tc>
        <w:tc>
          <w:tcPr>
            <w:tcW w:type="dxa" w:w="2154"/>
          </w:tcPr>
          <w:p>
            <w:pPr>
              <w:jc w:val="center"/>
            </w:pPr>
            <w:r/>
            <w:r>
              <w:rPr>
                <w:rFonts w:ascii="맑은 고딕" w:hAnsi="맑은 고딕" w:eastAsia="맑은 고딕"/>
                <w:sz w:val="18"/>
              </w:rPr>
              <w:t>18.7</w:t>
            </w:r>
          </w:p>
        </w:tc>
        <w:tc>
          <w:tcPr>
            <w:tcW w:type="dxa" w:w="2154"/>
          </w:tcPr>
          <w:p>
            <w:pPr>
              <w:jc w:val="center"/>
            </w:pPr>
            <w:r/>
            <w:r>
              <w:rPr>
                <w:rFonts w:ascii="맑은 고딕" w:hAnsi="맑은 고딕" w:eastAsia="맑은 고딕"/>
                <w:sz w:val="18"/>
              </w:rPr>
              <w:t>18.5</w:t>
            </w:r>
          </w:p>
        </w:tc>
      </w:tr>
      <w:tr>
        <w:tc>
          <w:tcPr>
            <w:tcW w:type="dxa" w:w="2551"/>
          </w:tcPr>
          <w:p>
            <w:pPr>
              <w:jc w:val="left"/>
            </w:pPr>
            <w:r/>
            <w:r>
              <w:rPr>
                <w:rFonts w:ascii="맑은 고딕" w:hAnsi="맑은 고딕" w:eastAsia="맑은 고딕"/>
                <w:sz w:val="18"/>
              </w:rPr>
              <w:t>현실화율 평균</w:t>
            </w:r>
          </w:p>
        </w:tc>
        <w:tc>
          <w:tcPr>
            <w:tcW w:type="dxa" w:w="2154"/>
          </w:tcPr>
          <w:p>
            <w:pPr>
              <w:jc w:val="center"/>
            </w:pPr>
            <w:r/>
            <w:r>
              <w:rPr>
                <w:rFonts w:ascii="맑은 고딕" w:hAnsi="맑은 고딕" w:eastAsia="맑은 고딕"/>
                <w:sz w:val="18"/>
              </w:rPr>
              <w:t>0.631</w:t>
            </w:r>
          </w:p>
        </w:tc>
        <w:tc>
          <w:tcPr>
            <w:tcW w:type="dxa" w:w="2154"/>
          </w:tcPr>
          <w:p>
            <w:pPr>
              <w:jc w:val="center"/>
            </w:pPr>
            <w:r/>
            <w:r>
              <w:rPr>
                <w:rFonts w:ascii="맑은 고딕" w:hAnsi="맑은 고딕" w:eastAsia="맑은 고딕"/>
                <w:sz w:val="18"/>
              </w:rPr>
              <w:t>0.618</w:t>
            </w:r>
          </w:p>
        </w:tc>
        <w:tc>
          <w:tcPr>
            <w:tcW w:type="dxa" w:w="2154"/>
          </w:tcPr>
          <w:p>
            <w:pPr>
              <w:jc w:val="center"/>
            </w:pPr>
            <w:r/>
            <w:r>
              <w:rPr>
                <w:rFonts w:ascii="맑은 고딕" w:hAnsi="맑은 고딕" w:eastAsia="맑은 고딕"/>
                <w:sz w:val="18"/>
              </w:rPr>
              <w:t>0.628</w:t>
            </w:r>
          </w:p>
        </w:tc>
      </w:tr>
      <w:tr>
        <w:tc>
          <w:tcPr>
            <w:tcW w:type="dxa" w:w="2551"/>
          </w:tcPr>
          <w:p>
            <w:pPr>
              <w:jc w:val="left"/>
            </w:pPr>
            <w:r/>
            <w:r>
              <w:rPr>
                <w:rFonts w:ascii="맑은 고딕" w:hAnsi="맑은 고딕" w:eastAsia="맑은 고딕"/>
                <w:sz w:val="18"/>
              </w:rPr>
              <w:t>현실화율 중앙</w:t>
            </w:r>
          </w:p>
        </w:tc>
        <w:tc>
          <w:tcPr>
            <w:tcW w:type="dxa" w:w="2154"/>
          </w:tcPr>
          <w:p>
            <w:pPr>
              <w:jc w:val="center"/>
            </w:pPr>
            <w:r/>
            <w:r>
              <w:rPr>
                <w:rFonts w:ascii="맑은 고딕" w:hAnsi="맑은 고딕" w:eastAsia="맑은 고딕"/>
                <w:sz w:val="18"/>
              </w:rPr>
              <w:t>0.624</w:t>
            </w:r>
          </w:p>
        </w:tc>
        <w:tc>
          <w:tcPr>
            <w:tcW w:type="dxa" w:w="2154"/>
          </w:tcPr>
          <w:p>
            <w:pPr>
              <w:jc w:val="center"/>
            </w:pPr>
            <w:r/>
            <w:r>
              <w:rPr>
                <w:rFonts w:ascii="맑은 고딕" w:hAnsi="맑은 고딕" w:eastAsia="맑은 고딕"/>
                <w:sz w:val="18"/>
              </w:rPr>
              <w:t>0.612</w:t>
            </w:r>
          </w:p>
        </w:tc>
        <w:tc>
          <w:tcPr>
            <w:tcW w:type="dxa" w:w="2154"/>
          </w:tcPr>
          <w:p>
            <w:pPr>
              <w:jc w:val="center"/>
            </w:pPr>
            <w:r/>
            <w:r>
              <w:rPr>
                <w:rFonts w:ascii="맑은 고딕" w:hAnsi="맑은 고딕" w:eastAsia="맑은 고딕"/>
                <w:sz w:val="18"/>
              </w:rPr>
              <w:t>0.623</w:t>
            </w:r>
          </w:p>
        </w:tc>
      </w:tr>
      <w:tr>
        <w:tc>
          <w:tcPr>
            <w:tcW w:type="dxa" w:w="2551"/>
          </w:tcPr>
          <w:p>
            <w:pPr>
              <w:jc w:val="left"/>
            </w:pPr>
            <w:r/>
            <w:r>
              <w:rPr>
                <w:rFonts w:ascii="맑은 고딕" w:hAnsi="맑은 고딕" w:eastAsia="맑은 고딕"/>
                <w:sz w:val="18"/>
              </w:rPr>
              <w:t>현실화율 표준편차</w:t>
            </w:r>
          </w:p>
        </w:tc>
        <w:tc>
          <w:tcPr>
            <w:tcW w:type="dxa" w:w="2154"/>
          </w:tcPr>
          <w:p>
            <w:pPr>
              <w:jc w:val="center"/>
            </w:pPr>
            <w:r/>
            <w:r>
              <w:rPr>
                <w:rFonts w:ascii="맑은 고딕" w:hAnsi="맑은 고딕" w:eastAsia="맑은 고딕"/>
                <w:sz w:val="18"/>
              </w:rPr>
              <w:t>0.090</w:t>
            </w:r>
          </w:p>
        </w:tc>
        <w:tc>
          <w:tcPr>
            <w:tcW w:type="dxa" w:w="2154"/>
          </w:tcPr>
          <w:p>
            <w:pPr>
              <w:jc w:val="center"/>
            </w:pPr>
            <w:r/>
            <w:r>
              <w:rPr>
                <w:rFonts w:ascii="맑은 고딕" w:hAnsi="맑은 고딕" w:eastAsia="맑은 고딕"/>
                <w:sz w:val="18"/>
              </w:rPr>
              <w:t>0.167</w:t>
            </w:r>
          </w:p>
        </w:tc>
        <w:tc>
          <w:tcPr>
            <w:tcW w:type="dxa" w:w="2154"/>
          </w:tcPr>
          <w:p>
            <w:pPr>
              <w:jc w:val="center"/>
            </w:pPr>
            <w:r/>
            <w:r>
              <w:rPr>
                <w:rFonts w:ascii="맑은 고딕" w:hAnsi="맑은 고딕" w:eastAsia="맑은 고딕"/>
                <w:sz w:val="18"/>
              </w:rPr>
              <w:t>0.110</w:t>
            </w:r>
          </w:p>
        </w:tc>
      </w:tr>
    </w:tbl>
    <w:p>
      <w:pPr>
        <w:spacing w:after="200" w:line="312" w:lineRule="auto"/>
      </w:pPr>
      <w:r>
        <w:rPr>
          <w:rFonts w:ascii="맑은 고딕" w:hAnsi="맑은 고딕" w:eastAsia="맑은 고딕"/>
          <w:b w:val="0"/>
          <w:i/>
          <w:color w:val="444444"/>
          <w:sz w:val="16"/>
        </w:rPr>
        <w:t>주: 현실화율 = 공시가격/실거래가. 이상치(0.1 미만·1.5 초과) 제외.</w:t>
      </w:r>
    </w:p>
    <w:p>
      <w:pPr>
        <w:pStyle w:val="Heading2"/>
      </w:pPr>
      <w:r>
        <w:rPr>
          <w:rFonts w:ascii="맑은 고딕" w:hAnsi="맑은 고딕" w:eastAsia="맑은 고딕"/>
          <w:b/>
        </w:rPr>
        <w:t>3.1 현실화율 수준 및 시계열 추이</w:t>
      </w:r>
    </w:p>
    <w:p>
      <w:pPr>
        <w:spacing w:after="120" w:line="312" w:lineRule="auto"/>
      </w:pPr>
      <w:r>
        <w:rPr>
          <w:rFonts w:ascii="맑은 고딕" w:hAnsi="맑은 고딕" w:eastAsia="맑은 고딕"/>
          <w:b w:val="0"/>
          <w:i w:val="0"/>
          <w:sz w:val="20"/>
        </w:rPr>
        <w:t>전국 현실화율 중앙값은 아파트 62.4%, 연립다세대 61.2%로, 공시가격이 실거래가의 약 6할 수준에 머물렀다. 시계열(표 2)에서 두 유형 모두 2019년 이후 대체로 하락하였다. 아파트는 68.9%(2019)에서 59.4%(2021)로 낮아진 뒤 2022년 반등하였다가 다시 하락해 60.6%(2026)에 이르렀고, 연립다세대는 64.9%에서 58.6%로 지속 하락하였다. 이는 공시가격 현실화율 로드맵의 상향·후퇴와 시세 변동이 겹친 결과로, 공시가격이 최근의 시세 상승을 충분히 따라가지 못하였음을 보여준다.</w:t>
      </w:r>
    </w:p>
    <w:p>
      <w:pPr>
        <w:spacing w:after="60" w:line="312" w:lineRule="auto"/>
      </w:pPr>
      <w:r>
        <w:rPr>
          <w:rFonts w:ascii="맑은 고딕" w:hAnsi="맑은 고딕" w:eastAsia="맑은 고딕"/>
          <w:b/>
          <w:i w:val="0"/>
          <w:sz w:val="20"/>
        </w:rPr>
        <w:t>표 2. 연도별 현실화율 중앙값 (괄호: 관측수)</w:t>
      </w:r>
    </w:p>
    <w:tbl>
      <w:tblPr>
        <w:tblStyle w:val="TableGrid"/>
        <w:tblW w:type="auto" w:w="0"/>
        <w:jc w:val="center"/>
        <w:tblLook w:firstColumn="1" w:firstRow="1" w:lastColumn="0" w:lastRow="0" w:noHBand="0" w:noVBand="1" w:val="04A0"/>
      </w:tblPr>
      <w:tblGrid>
        <w:gridCol w:w="3324"/>
        <w:gridCol w:w="3324"/>
        <w:gridCol w:w="3324"/>
      </w:tblGrid>
      <w:tr>
        <w:tc>
          <w:tcPr>
            <w:tcW w:type="dxa" w:w="1587"/>
            <w:shd w:val="clear" w:color="auto" w:fill="D9E2F3"/>
          </w:tcPr>
          <w:p>
            <w:pPr>
              <w:jc w:val="center"/>
            </w:pPr>
            <w:r/>
            <w:r>
              <w:rPr>
                <w:rFonts w:ascii="맑은 고딕" w:hAnsi="맑은 고딕" w:eastAsia="맑은 고딕"/>
                <w:b/>
                <w:sz w:val="18"/>
              </w:rPr>
              <w:t>거래연도</w:t>
            </w:r>
          </w:p>
        </w:tc>
        <w:tc>
          <w:tcPr>
            <w:tcW w:type="dxa" w:w="3005"/>
            <w:shd w:val="clear" w:color="auto" w:fill="D9E2F3"/>
          </w:tcPr>
          <w:p>
            <w:pPr>
              <w:jc w:val="center"/>
            </w:pPr>
            <w:r/>
            <w:r>
              <w:rPr>
                <w:rFonts w:ascii="맑은 고딕" w:hAnsi="맑은 고딕" w:eastAsia="맑은 고딕"/>
                <w:b/>
                <w:sz w:val="18"/>
              </w:rPr>
              <w:t>아파트</w:t>
            </w:r>
          </w:p>
        </w:tc>
        <w:tc>
          <w:tcPr>
            <w:tcW w:type="dxa" w:w="3005"/>
            <w:shd w:val="clear" w:color="auto" w:fill="D9E2F3"/>
          </w:tcPr>
          <w:p>
            <w:pPr>
              <w:jc w:val="center"/>
            </w:pPr>
            <w:r/>
            <w:r>
              <w:rPr>
                <w:rFonts w:ascii="맑은 고딕" w:hAnsi="맑은 고딕" w:eastAsia="맑은 고딕"/>
                <w:b/>
                <w:sz w:val="18"/>
              </w:rPr>
              <w:t>연립다세대</w:t>
            </w:r>
          </w:p>
        </w:tc>
      </w:tr>
      <w:tr>
        <w:tc>
          <w:tcPr>
            <w:tcW w:type="dxa" w:w="1587"/>
          </w:tcPr>
          <w:p>
            <w:pPr>
              <w:jc w:val="left"/>
            </w:pPr>
            <w:r/>
            <w:r>
              <w:rPr>
                <w:rFonts w:ascii="맑은 고딕" w:hAnsi="맑은 고딕" w:eastAsia="맑은 고딕"/>
                <w:sz w:val="18"/>
              </w:rPr>
              <w:t>2019</w:t>
            </w:r>
          </w:p>
        </w:tc>
        <w:tc>
          <w:tcPr>
            <w:tcW w:type="dxa" w:w="3005"/>
          </w:tcPr>
          <w:p>
            <w:pPr>
              <w:jc w:val="center"/>
            </w:pPr>
            <w:r/>
            <w:r>
              <w:rPr>
                <w:rFonts w:ascii="맑은 고딕" w:hAnsi="맑은 고딕" w:eastAsia="맑은 고딕"/>
                <w:sz w:val="18"/>
              </w:rPr>
              <w:t>0.689 (415,206)</w:t>
            </w:r>
          </w:p>
        </w:tc>
        <w:tc>
          <w:tcPr>
            <w:tcW w:type="dxa" w:w="3005"/>
          </w:tcPr>
          <w:p>
            <w:pPr>
              <w:jc w:val="center"/>
            </w:pPr>
            <w:r/>
            <w:r>
              <w:rPr>
                <w:rFonts w:ascii="맑은 고딕" w:hAnsi="맑은 고딕" w:eastAsia="맑은 고딕"/>
                <w:sz w:val="18"/>
              </w:rPr>
              <w:t>0.649 (109,820)</w:t>
            </w:r>
          </w:p>
        </w:tc>
      </w:tr>
      <w:tr>
        <w:tc>
          <w:tcPr>
            <w:tcW w:type="dxa" w:w="1587"/>
          </w:tcPr>
          <w:p>
            <w:pPr>
              <w:jc w:val="left"/>
            </w:pPr>
            <w:r/>
            <w:r>
              <w:rPr>
                <w:rFonts w:ascii="맑은 고딕" w:hAnsi="맑은 고딕" w:eastAsia="맑은 고딕"/>
                <w:sz w:val="18"/>
              </w:rPr>
              <w:t>2020</w:t>
            </w:r>
          </w:p>
        </w:tc>
        <w:tc>
          <w:tcPr>
            <w:tcW w:type="dxa" w:w="3005"/>
          </w:tcPr>
          <w:p>
            <w:pPr>
              <w:jc w:val="center"/>
            </w:pPr>
            <w:r/>
            <w:r>
              <w:rPr>
                <w:rFonts w:ascii="맑은 고딕" w:hAnsi="맑은 고딕" w:eastAsia="맑은 고딕"/>
                <w:sz w:val="18"/>
              </w:rPr>
              <w:t>0.632 (668,537)</w:t>
            </w:r>
          </w:p>
        </w:tc>
        <w:tc>
          <w:tcPr>
            <w:tcW w:type="dxa" w:w="3005"/>
          </w:tcPr>
          <w:p>
            <w:pPr>
              <w:jc w:val="center"/>
            </w:pPr>
            <w:r/>
            <w:r>
              <w:rPr>
                <w:rFonts w:ascii="맑은 고딕" w:hAnsi="맑은 고딕" w:eastAsia="맑은 고딕"/>
                <w:sz w:val="18"/>
              </w:rPr>
              <w:t>0.630 (155,552)</w:t>
            </w:r>
          </w:p>
        </w:tc>
      </w:tr>
      <w:tr>
        <w:tc>
          <w:tcPr>
            <w:tcW w:type="dxa" w:w="1587"/>
          </w:tcPr>
          <w:p>
            <w:pPr>
              <w:jc w:val="left"/>
            </w:pPr>
            <w:r/>
            <w:r>
              <w:rPr>
                <w:rFonts w:ascii="맑은 고딕" w:hAnsi="맑은 고딕" w:eastAsia="맑은 고딕"/>
                <w:sz w:val="18"/>
              </w:rPr>
              <w:t>2021</w:t>
            </w:r>
          </w:p>
        </w:tc>
        <w:tc>
          <w:tcPr>
            <w:tcW w:type="dxa" w:w="3005"/>
          </w:tcPr>
          <w:p>
            <w:pPr>
              <w:jc w:val="center"/>
            </w:pPr>
            <w:r/>
            <w:r>
              <w:rPr>
                <w:rFonts w:ascii="맑은 고딕" w:hAnsi="맑은 고딕" w:eastAsia="맑은 고딕"/>
                <w:sz w:val="18"/>
              </w:rPr>
              <w:t>0.594 (455,605)</w:t>
            </w:r>
          </w:p>
        </w:tc>
        <w:tc>
          <w:tcPr>
            <w:tcW w:type="dxa" w:w="3005"/>
          </w:tcPr>
          <w:p>
            <w:pPr>
              <w:jc w:val="center"/>
            </w:pPr>
            <w:r/>
            <w:r>
              <w:rPr>
                <w:rFonts w:ascii="맑은 고딕" w:hAnsi="맑은 고딕" w:eastAsia="맑은 고딕"/>
                <w:sz w:val="18"/>
              </w:rPr>
              <w:t>0.611 (165,240)</w:t>
            </w:r>
          </w:p>
        </w:tc>
      </w:tr>
      <w:tr>
        <w:tc>
          <w:tcPr>
            <w:tcW w:type="dxa" w:w="1587"/>
          </w:tcPr>
          <w:p>
            <w:pPr>
              <w:jc w:val="left"/>
            </w:pPr>
            <w:r/>
            <w:r>
              <w:rPr>
                <w:rFonts w:ascii="맑은 고딕" w:hAnsi="맑은 고딕" w:eastAsia="맑은 고딕"/>
                <w:sz w:val="18"/>
              </w:rPr>
              <w:t>2022</w:t>
            </w:r>
          </w:p>
        </w:tc>
        <w:tc>
          <w:tcPr>
            <w:tcW w:type="dxa" w:w="3005"/>
          </w:tcPr>
          <w:p>
            <w:pPr>
              <w:jc w:val="center"/>
            </w:pPr>
            <w:r/>
            <w:r>
              <w:rPr>
                <w:rFonts w:ascii="맑은 고딕" w:hAnsi="맑은 고딕" w:eastAsia="맑은 고딕"/>
                <w:sz w:val="18"/>
              </w:rPr>
              <w:t>0.653 (196,646)</w:t>
            </w:r>
          </w:p>
        </w:tc>
        <w:tc>
          <w:tcPr>
            <w:tcW w:type="dxa" w:w="3005"/>
          </w:tcPr>
          <w:p>
            <w:pPr>
              <w:jc w:val="center"/>
            </w:pPr>
            <w:r/>
            <w:r>
              <w:rPr>
                <w:rFonts w:ascii="맑은 고딕" w:hAnsi="맑은 고딕" w:eastAsia="맑은 고딕"/>
                <w:sz w:val="18"/>
              </w:rPr>
              <w:t>0.603 (91,626)</w:t>
            </w:r>
          </w:p>
        </w:tc>
      </w:tr>
      <w:tr>
        <w:tc>
          <w:tcPr>
            <w:tcW w:type="dxa" w:w="1587"/>
          </w:tcPr>
          <w:p>
            <w:pPr>
              <w:jc w:val="left"/>
            </w:pPr>
            <w:r/>
            <w:r>
              <w:rPr>
                <w:rFonts w:ascii="맑은 고딕" w:hAnsi="맑은 고딕" w:eastAsia="맑은 고딕"/>
                <w:sz w:val="18"/>
              </w:rPr>
              <w:t>2023</w:t>
            </w:r>
          </w:p>
        </w:tc>
        <w:tc>
          <w:tcPr>
            <w:tcW w:type="dxa" w:w="3005"/>
          </w:tcPr>
          <w:p>
            <w:pPr>
              <w:jc w:val="center"/>
            </w:pPr>
            <w:r/>
            <w:r>
              <w:rPr>
                <w:rFonts w:ascii="맑은 고딕" w:hAnsi="맑은 고딕" w:eastAsia="맑은 고딕"/>
                <w:sz w:val="18"/>
              </w:rPr>
              <w:t>0.625 (304,378)</w:t>
            </w:r>
          </w:p>
        </w:tc>
        <w:tc>
          <w:tcPr>
            <w:tcW w:type="dxa" w:w="3005"/>
          </w:tcPr>
          <w:p>
            <w:pPr>
              <w:jc w:val="center"/>
            </w:pPr>
            <w:r/>
            <w:r>
              <w:rPr>
                <w:rFonts w:ascii="맑은 고딕" w:hAnsi="맑은 고딕" w:eastAsia="맑은 고딕"/>
                <w:sz w:val="18"/>
              </w:rPr>
              <w:t>0.600 (63,514)</w:t>
            </w:r>
          </w:p>
        </w:tc>
      </w:tr>
      <w:tr>
        <w:tc>
          <w:tcPr>
            <w:tcW w:type="dxa" w:w="1587"/>
          </w:tcPr>
          <w:p>
            <w:pPr>
              <w:jc w:val="left"/>
            </w:pPr>
            <w:r/>
            <w:r>
              <w:rPr>
                <w:rFonts w:ascii="맑은 고딕" w:hAnsi="맑은 고딕" w:eastAsia="맑은 고딕"/>
                <w:sz w:val="18"/>
              </w:rPr>
              <w:t>2024</w:t>
            </w:r>
          </w:p>
        </w:tc>
        <w:tc>
          <w:tcPr>
            <w:tcW w:type="dxa" w:w="3005"/>
          </w:tcPr>
          <w:p>
            <w:pPr>
              <w:jc w:val="center"/>
            </w:pPr>
            <w:r/>
            <w:r>
              <w:rPr>
                <w:rFonts w:ascii="맑은 고딕" w:hAnsi="맑은 고딕" w:eastAsia="맑은 고딕"/>
                <w:sz w:val="18"/>
              </w:rPr>
              <w:t>0.616 (366,624)</w:t>
            </w:r>
          </w:p>
        </w:tc>
        <w:tc>
          <w:tcPr>
            <w:tcW w:type="dxa" w:w="3005"/>
          </w:tcPr>
          <w:p>
            <w:pPr>
              <w:jc w:val="center"/>
            </w:pPr>
            <w:r/>
            <w:r>
              <w:rPr>
                <w:rFonts w:ascii="맑은 고딕" w:hAnsi="맑은 고딕" w:eastAsia="맑은 고딕"/>
                <w:sz w:val="18"/>
              </w:rPr>
              <w:t>0.598 (69,641)</w:t>
            </w:r>
          </w:p>
        </w:tc>
      </w:tr>
      <w:tr>
        <w:tc>
          <w:tcPr>
            <w:tcW w:type="dxa" w:w="1587"/>
          </w:tcPr>
          <w:p>
            <w:pPr>
              <w:jc w:val="left"/>
            </w:pPr>
            <w:r/>
            <w:r>
              <w:rPr>
                <w:rFonts w:ascii="맑은 고딕" w:hAnsi="맑은 고딕" w:eastAsia="맑은 고딕"/>
                <w:sz w:val="18"/>
              </w:rPr>
              <w:t>2025</w:t>
            </w:r>
          </w:p>
        </w:tc>
        <w:tc>
          <w:tcPr>
            <w:tcW w:type="dxa" w:w="3005"/>
          </w:tcPr>
          <w:p>
            <w:pPr>
              <w:jc w:val="center"/>
            </w:pPr>
            <w:r/>
            <w:r>
              <w:rPr>
                <w:rFonts w:ascii="맑은 고딕" w:hAnsi="맑은 고딕" w:eastAsia="맑은 고딕"/>
                <w:sz w:val="18"/>
              </w:rPr>
              <w:t>0.612 (430,090)</w:t>
            </w:r>
          </w:p>
        </w:tc>
        <w:tc>
          <w:tcPr>
            <w:tcW w:type="dxa" w:w="3005"/>
          </w:tcPr>
          <w:p>
            <w:pPr>
              <w:jc w:val="center"/>
            </w:pPr>
            <w:r/>
            <w:r>
              <w:rPr>
                <w:rFonts w:ascii="맑은 고딕" w:hAnsi="맑은 고딕" w:eastAsia="맑은 고딕"/>
                <w:sz w:val="18"/>
              </w:rPr>
              <w:t>0.588 (77,642)</w:t>
            </w:r>
          </w:p>
        </w:tc>
      </w:tr>
      <w:tr>
        <w:tc>
          <w:tcPr>
            <w:tcW w:type="dxa" w:w="1587"/>
          </w:tcPr>
          <w:p>
            <w:pPr>
              <w:jc w:val="left"/>
            </w:pPr>
            <w:r/>
            <w:r>
              <w:rPr>
                <w:rFonts w:ascii="맑은 고딕" w:hAnsi="맑은 고딕" w:eastAsia="맑은 고딕"/>
                <w:sz w:val="18"/>
              </w:rPr>
              <w:t>2026</w:t>
            </w:r>
          </w:p>
        </w:tc>
        <w:tc>
          <w:tcPr>
            <w:tcW w:type="dxa" w:w="3005"/>
          </w:tcPr>
          <w:p>
            <w:pPr>
              <w:jc w:val="center"/>
            </w:pPr>
            <w:r/>
            <w:r>
              <w:rPr>
                <w:rFonts w:ascii="맑은 고딕" w:hAnsi="맑은 고딕" w:eastAsia="맑은 고딕"/>
                <w:sz w:val="18"/>
              </w:rPr>
              <w:t>0.606 (319,477)</w:t>
            </w:r>
          </w:p>
        </w:tc>
        <w:tc>
          <w:tcPr>
            <w:tcW w:type="dxa" w:w="3005"/>
          </w:tcPr>
          <w:p>
            <w:pPr>
              <w:jc w:val="center"/>
            </w:pPr>
            <w:r/>
            <w:r>
              <w:rPr>
                <w:rFonts w:ascii="맑은 고딕" w:hAnsi="맑은 고딕" w:eastAsia="맑은 고딕"/>
                <w:sz w:val="18"/>
              </w:rPr>
              <w:t>0.586 (63,153)</w:t>
            </w:r>
          </w:p>
        </w:tc>
      </w:tr>
    </w:tbl>
    <w:p>
      <w:pPr>
        <w:pStyle w:val="Heading2"/>
      </w:pPr>
      <w:r>
        <w:rPr>
          <w:rFonts w:ascii="맑은 고딕" w:hAnsi="맑은 고딕" w:eastAsia="맑은 고딕"/>
          <w:b/>
        </w:rPr>
        <w:t>3.2 수직형평성(역진성) 검정</w:t>
      </w:r>
    </w:p>
    <w:p>
      <w:pPr>
        <w:spacing w:after="120" w:line="312" w:lineRule="auto"/>
      </w:pPr>
      <w:r>
        <w:rPr>
          <w:rFonts w:ascii="맑은 고딕" w:hAnsi="맑은 고딕" w:eastAsia="맑은 고딕"/>
          <w:b w:val="0"/>
          <w:i w:val="0"/>
          <w:sz w:val="20"/>
        </w:rPr>
        <w:t>IAAO 수직형평성 지표(표 3)는 두 유형 모두 역진성을 보이되 그 정도가 다름을 나타낸다. 아파트는 PRD 1.027·PRB −0.025·COD 10.4로 약한 역진이나 균일성은 양호한 반면, 연립다세대는 PRD 1.085·PRB −0.067·COD 19.9로 역진성이 뚜렷하고 균일성도 낮다. 전국 분석에서는 강남3구에서 형평에 가깝던 아파트도 약한 역진성을 보여, 지역을 넓힐수록 역진성이 드러남을 확인할 수 있다.</w:t>
      </w:r>
    </w:p>
    <w:p>
      <w:pPr>
        <w:spacing w:after="60" w:line="312" w:lineRule="auto"/>
      </w:pPr>
      <w:r>
        <w:rPr>
          <w:rFonts w:ascii="맑은 고딕" w:hAnsi="맑은 고딕" w:eastAsia="맑은 고딕"/>
          <w:b/>
          <w:i w:val="0"/>
          <w:sz w:val="20"/>
        </w:rPr>
        <w:t>표 3. IAAO 수직형평성 지표 (전국)</w:t>
      </w:r>
    </w:p>
    <w:tbl>
      <w:tblPr>
        <w:tblStyle w:val="TableGrid"/>
        <w:tblW w:type="auto" w:w="0"/>
        <w:jc w:val="center"/>
        <w:tblLook w:firstColumn="1" w:firstRow="1" w:lastColumn="0" w:lastRow="0" w:noHBand="0" w:noVBand="1" w:val="04A0"/>
      </w:tblPr>
      <w:tblGrid>
        <w:gridCol w:w="1662"/>
        <w:gridCol w:w="1662"/>
        <w:gridCol w:w="1662"/>
        <w:gridCol w:w="1662"/>
        <w:gridCol w:w="1662"/>
        <w:gridCol w:w="1662"/>
      </w:tblGrid>
      <w:tr>
        <w:tc>
          <w:tcPr>
            <w:tcW w:type="dxa" w:w="1814"/>
            <w:shd w:val="clear" w:color="auto" w:fill="D9E2F3"/>
          </w:tcPr>
          <w:p>
            <w:pPr>
              <w:jc w:val="center"/>
            </w:pPr>
            <w:r/>
            <w:r>
              <w:rPr>
                <w:rFonts w:ascii="맑은 고딕" w:hAnsi="맑은 고딕" w:eastAsia="맑은 고딕"/>
                <w:b/>
                <w:sz w:val="18"/>
              </w:rPr>
              <w:t>유형</w:t>
            </w:r>
          </w:p>
        </w:tc>
        <w:tc>
          <w:tcPr>
            <w:tcW w:type="dxa" w:w="1474"/>
            <w:shd w:val="clear" w:color="auto" w:fill="D9E2F3"/>
          </w:tcPr>
          <w:p>
            <w:pPr>
              <w:jc w:val="center"/>
            </w:pPr>
            <w:r/>
            <w:r>
              <w:rPr>
                <w:rFonts w:ascii="맑은 고딕" w:hAnsi="맑은 고딕" w:eastAsia="맑은 고딕"/>
                <w:b/>
                <w:sz w:val="18"/>
              </w:rPr>
              <w:t>N</w:t>
            </w:r>
          </w:p>
        </w:tc>
        <w:tc>
          <w:tcPr>
            <w:tcW w:type="dxa" w:w="1474"/>
            <w:shd w:val="clear" w:color="auto" w:fill="D9E2F3"/>
          </w:tcPr>
          <w:p>
            <w:pPr>
              <w:jc w:val="center"/>
            </w:pPr>
            <w:r/>
            <w:r>
              <w:rPr>
                <w:rFonts w:ascii="맑은 고딕" w:hAnsi="맑은 고딕" w:eastAsia="맑은 고딕"/>
                <w:b/>
                <w:sz w:val="18"/>
              </w:rPr>
              <w:t>중앙 현실화율</w:t>
            </w:r>
          </w:p>
        </w:tc>
        <w:tc>
          <w:tcPr>
            <w:tcW w:type="dxa" w:w="1077"/>
            <w:shd w:val="clear" w:color="auto" w:fill="D9E2F3"/>
          </w:tcPr>
          <w:p>
            <w:pPr>
              <w:jc w:val="center"/>
            </w:pPr>
            <w:r/>
            <w:r>
              <w:rPr>
                <w:rFonts w:ascii="맑은 고딕" w:hAnsi="맑은 고딕" w:eastAsia="맑은 고딕"/>
                <w:b/>
                <w:sz w:val="18"/>
              </w:rPr>
              <w:t>COD</w:t>
            </w:r>
          </w:p>
        </w:tc>
        <w:tc>
          <w:tcPr>
            <w:tcW w:type="dxa" w:w="1077"/>
            <w:shd w:val="clear" w:color="auto" w:fill="D9E2F3"/>
          </w:tcPr>
          <w:p>
            <w:pPr>
              <w:jc w:val="center"/>
            </w:pPr>
            <w:r/>
            <w:r>
              <w:rPr>
                <w:rFonts w:ascii="맑은 고딕" w:hAnsi="맑은 고딕" w:eastAsia="맑은 고딕"/>
                <w:b/>
                <w:sz w:val="18"/>
              </w:rPr>
              <w:t>PRD</w:t>
            </w:r>
          </w:p>
        </w:tc>
        <w:tc>
          <w:tcPr>
            <w:tcW w:type="dxa" w:w="1077"/>
            <w:shd w:val="clear" w:color="auto" w:fill="D9E2F3"/>
          </w:tcPr>
          <w:p>
            <w:pPr>
              <w:jc w:val="center"/>
            </w:pPr>
            <w:r/>
            <w:r>
              <w:rPr>
                <w:rFonts w:ascii="맑은 고딕" w:hAnsi="맑은 고딕" w:eastAsia="맑은 고딕"/>
                <w:b/>
                <w:sz w:val="18"/>
              </w:rPr>
              <w:t>PRB</w:t>
            </w:r>
          </w:p>
        </w:tc>
      </w:tr>
      <w:tr>
        <w:tc>
          <w:tcPr>
            <w:tcW w:type="dxa" w:w="1814"/>
          </w:tcPr>
          <w:p>
            <w:pPr>
              <w:jc w:val="left"/>
            </w:pPr>
            <w:r/>
            <w:r>
              <w:rPr>
                <w:rFonts w:ascii="맑은 고딕" w:hAnsi="맑은 고딕" w:eastAsia="맑은 고딕"/>
                <w:sz w:val="18"/>
              </w:rPr>
              <w:t>아파트</w:t>
            </w:r>
          </w:p>
        </w:tc>
        <w:tc>
          <w:tcPr>
            <w:tcW w:type="dxa" w:w="1474"/>
          </w:tcPr>
          <w:p>
            <w:pPr>
              <w:jc w:val="center"/>
            </w:pPr>
            <w:r/>
            <w:r>
              <w:rPr>
                <w:rFonts w:ascii="맑은 고딕" w:hAnsi="맑은 고딕" w:eastAsia="맑은 고딕"/>
                <w:sz w:val="18"/>
              </w:rPr>
              <w:t>3,156,563</w:t>
            </w:r>
          </w:p>
        </w:tc>
        <w:tc>
          <w:tcPr>
            <w:tcW w:type="dxa" w:w="1474"/>
          </w:tcPr>
          <w:p>
            <w:pPr>
              <w:jc w:val="center"/>
            </w:pPr>
            <w:r/>
            <w:r>
              <w:rPr>
                <w:rFonts w:ascii="맑은 고딕" w:hAnsi="맑은 고딕" w:eastAsia="맑은 고딕"/>
                <w:sz w:val="18"/>
              </w:rPr>
              <w:t>0.624</w:t>
            </w:r>
          </w:p>
        </w:tc>
        <w:tc>
          <w:tcPr>
            <w:tcW w:type="dxa" w:w="1077"/>
          </w:tcPr>
          <w:p>
            <w:pPr>
              <w:jc w:val="center"/>
            </w:pPr>
            <w:r/>
            <w:r>
              <w:rPr>
                <w:rFonts w:ascii="맑은 고딕" w:hAnsi="맑은 고딕" w:eastAsia="맑은 고딕"/>
                <w:sz w:val="18"/>
              </w:rPr>
              <w:t>10.4</w:t>
            </w:r>
          </w:p>
        </w:tc>
        <w:tc>
          <w:tcPr>
            <w:tcW w:type="dxa" w:w="1077"/>
          </w:tcPr>
          <w:p>
            <w:pPr>
              <w:jc w:val="center"/>
            </w:pPr>
            <w:r/>
            <w:r>
              <w:rPr>
                <w:rFonts w:ascii="맑은 고딕" w:hAnsi="맑은 고딕" w:eastAsia="맑은 고딕"/>
                <w:sz w:val="18"/>
              </w:rPr>
              <w:t>1.027</w:t>
            </w:r>
          </w:p>
        </w:tc>
        <w:tc>
          <w:tcPr>
            <w:tcW w:type="dxa" w:w="1077"/>
          </w:tcPr>
          <w:p>
            <w:pPr>
              <w:jc w:val="center"/>
            </w:pPr>
            <w:r/>
            <w:r>
              <w:rPr>
                <w:rFonts w:ascii="맑은 고딕" w:hAnsi="맑은 고딕" w:eastAsia="맑은 고딕"/>
                <w:sz w:val="18"/>
              </w:rPr>
              <w:t>−0.025</w:t>
            </w:r>
          </w:p>
        </w:tc>
      </w:tr>
      <w:tr>
        <w:tc>
          <w:tcPr>
            <w:tcW w:type="dxa" w:w="1814"/>
          </w:tcPr>
          <w:p>
            <w:pPr>
              <w:jc w:val="left"/>
            </w:pPr>
            <w:r/>
            <w:r>
              <w:rPr>
                <w:rFonts w:ascii="맑은 고딕" w:hAnsi="맑은 고딕" w:eastAsia="맑은 고딕"/>
                <w:sz w:val="18"/>
              </w:rPr>
              <w:t>연립다세대</w:t>
            </w:r>
          </w:p>
        </w:tc>
        <w:tc>
          <w:tcPr>
            <w:tcW w:type="dxa" w:w="1474"/>
          </w:tcPr>
          <w:p>
            <w:pPr>
              <w:jc w:val="center"/>
            </w:pPr>
            <w:r/>
            <w:r>
              <w:rPr>
                <w:rFonts w:ascii="맑은 고딕" w:hAnsi="맑은 고딕" w:eastAsia="맑은 고딕"/>
                <w:sz w:val="18"/>
              </w:rPr>
              <w:t>796,188</w:t>
            </w:r>
          </w:p>
        </w:tc>
        <w:tc>
          <w:tcPr>
            <w:tcW w:type="dxa" w:w="1474"/>
          </w:tcPr>
          <w:p>
            <w:pPr>
              <w:jc w:val="center"/>
            </w:pPr>
            <w:r/>
            <w:r>
              <w:rPr>
                <w:rFonts w:ascii="맑은 고딕" w:hAnsi="맑은 고딕" w:eastAsia="맑은 고딕"/>
                <w:sz w:val="18"/>
              </w:rPr>
              <w:t>0.612</w:t>
            </w:r>
          </w:p>
        </w:tc>
        <w:tc>
          <w:tcPr>
            <w:tcW w:type="dxa" w:w="1077"/>
          </w:tcPr>
          <w:p>
            <w:pPr>
              <w:jc w:val="center"/>
            </w:pPr>
            <w:r/>
            <w:r>
              <w:rPr>
                <w:rFonts w:ascii="맑은 고딕" w:hAnsi="맑은 고딕" w:eastAsia="맑은 고딕"/>
                <w:sz w:val="18"/>
              </w:rPr>
              <w:t>19.9</w:t>
            </w:r>
          </w:p>
        </w:tc>
        <w:tc>
          <w:tcPr>
            <w:tcW w:type="dxa" w:w="1077"/>
          </w:tcPr>
          <w:p>
            <w:pPr>
              <w:jc w:val="center"/>
            </w:pPr>
            <w:r/>
            <w:r>
              <w:rPr>
                <w:rFonts w:ascii="맑은 고딕" w:hAnsi="맑은 고딕" w:eastAsia="맑은 고딕"/>
                <w:sz w:val="18"/>
              </w:rPr>
              <w:t>1.085</w:t>
            </w:r>
          </w:p>
        </w:tc>
        <w:tc>
          <w:tcPr>
            <w:tcW w:type="dxa" w:w="1077"/>
          </w:tcPr>
          <w:p>
            <w:pPr>
              <w:jc w:val="center"/>
            </w:pPr>
            <w:r/>
            <w:r>
              <w:rPr>
                <w:rFonts w:ascii="맑은 고딕" w:hAnsi="맑은 고딕" w:eastAsia="맑은 고딕"/>
                <w:sz w:val="18"/>
              </w:rPr>
              <w:t>−0.067</w:t>
            </w:r>
          </w:p>
        </w:tc>
      </w:tr>
    </w:tbl>
    <w:p>
      <w:pPr>
        <w:spacing w:after="200" w:line="312" w:lineRule="auto"/>
      </w:pPr>
      <w:r>
        <w:rPr>
          <w:rFonts w:ascii="맑은 고딕" w:hAnsi="맑은 고딕" w:eastAsia="맑은 고딕"/>
          <w:b w:val="0"/>
          <w:i/>
          <w:color w:val="444444"/>
          <w:sz w:val="16"/>
        </w:rPr>
        <w:t>주: PRD&gt;1.03·PRB&lt;−0.05 = 역진, COD는 낮을수록 균일(권장 ≤15).</w:t>
      </w:r>
    </w:p>
    <w:p>
      <w:pPr>
        <w:spacing w:after="120" w:line="312" w:lineRule="auto"/>
      </w:pPr>
      <w:r>
        <w:rPr>
          <w:rFonts w:ascii="맑은 고딕" w:hAnsi="맑은 고딕" w:eastAsia="맑은 고딕"/>
          <w:b w:val="0"/>
          <w:i w:val="0"/>
          <w:sz w:val="20"/>
        </w:rPr>
        <w:t>회귀분석(표 4)은 역진성을 통계적으로 확증한다. ln(실거래가) 계수는 전체 −0.097, 아파트 −0.063, 연립다세대 −0.207로 모두 음이며 1% 수준에서 유의하다(t값 각각 −683, −496, −529). 특히 연립다세대의 계수는 아파트의 약 3.3배로 역진성이 훨씬 강하며, ln(실거래가)×유형 상호작용항(−0.061, t=−230)이 유의하여 연립다세대의 역진성이 아파트보다 통계적으로 유의하게 큼을 보인다. 통제변수에서 전용면적은 정(+), 건축연령은 부(−)의 효과를 가진다.</w:t>
      </w:r>
    </w:p>
    <w:p>
      <w:pPr>
        <w:spacing w:after="60" w:line="312" w:lineRule="auto"/>
      </w:pPr>
      <w:r>
        <w:rPr>
          <w:rFonts w:ascii="맑은 고딕" w:hAnsi="맑은 고딕" w:eastAsia="맑은 고딕"/>
          <w:b/>
          <w:i w:val="0"/>
          <w:sz w:val="20"/>
        </w:rPr>
        <w:t>표 4. 현실화율 회귀분석 결과 (종속변수: 현실화율)</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268"/>
            <w:shd w:val="clear" w:color="auto" w:fill="D9E2F3"/>
          </w:tcPr>
          <w:p>
            <w:pPr>
              <w:jc w:val="center"/>
            </w:pPr>
            <w:r/>
            <w:r>
              <w:rPr>
                <w:rFonts w:ascii="맑은 고딕" w:hAnsi="맑은 고딕" w:eastAsia="맑은 고딕"/>
                <w:b/>
                <w:sz w:val="18"/>
              </w:rPr>
              <w:t>독립변수</w:t>
            </w:r>
          </w:p>
        </w:tc>
        <w:tc>
          <w:tcPr>
            <w:tcW w:type="dxa" w:w="1871"/>
            <w:shd w:val="clear" w:color="auto" w:fill="D9E2F3"/>
          </w:tcPr>
          <w:p>
            <w:pPr>
              <w:jc w:val="center"/>
            </w:pPr>
            <w:r/>
            <w:r>
              <w:rPr>
                <w:rFonts w:ascii="맑은 고딕" w:hAnsi="맑은 고딕" w:eastAsia="맑은 고딕"/>
                <w:b/>
                <w:sz w:val="18"/>
              </w:rPr>
              <w:t>전체(pooled)</w:t>
            </w:r>
          </w:p>
        </w:tc>
        <w:tc>
          <w:tcPr>
            <w:tcW w:type="dxa" w:w="1871"/>
            <w:shd w:val="clear" w:color="auto" w:fill="D9E2F3"/>
          </w:tcPr>
          <w:p>
            <w:pPr>
              <w:jc w:val="center"/>
            </w:pPr>
            <w:r/>
            <w:r>
              <w:rPr>
                <w:rFonts w:ascii="맑은 고딕" w:hAnsi="맑은 고딕" w:eastAsia="맑은 고딕"/>
                <w:b/>
                <w:sz w:val="18"/>
              </w:rPr>
              <w:t>아파트</w:t>
            </w:r>
          </w:p>
        </w:tc>
        <w:tc>
          <w:tcPr>
            <w:tcW w:type="dxa" w:w="1871"/>
            <w:shd w:val="clear" w:color="auto" w:fill="D9E2F3"/>
          </w:tcPr>
          <w:p>
            <w:pPr>
              <w:jc w:val="center"/>
            </w:pPr>
            <w:r/>
            <w:r>
              <w:rPr>
                <w:rFonts w:ascii="맑은 고딕" w:hAnsi="맑은 고딕" w:eastAsia="맑은 고딕"/>
                <w:b/>
                <w:sz w:val="18"/>
              </w:rPr>
              <w:t>연립다세대</w:t>
            </w:r>
          </w:p>
        </w:tc>
      </w:tr>
      <w:tr>
        <w:tc>
          <w:tcPr>
            <w:tcW w:type="dxa" w:w="2268"/>
          </w:tcPr>
          <w:p>
            <w:pPr>
              <w:jc w:val="left"/>
            </w:pPr>
            <w:r/>
            <w:r>
              <w:rPr>
                <w:rFonts w:ascii="맑은 고딕" w:hAnsi="맑은 고딕" w:eastAsia="맑은 고딕"/>
                <w:sz w:val="18"/>
              </w:rPr>
              <w:t>ln(실거래가)</w:t>
            </w:r>
          </w:p>
        </w:tc>
        <w:tc>
          <w:tcPr>
            <w:tcW w:type="dxa" w:w="1871"/>
          </w:tcPr>
          <w:p>
            <w:pPr>
              <w:jc w:val="center"/>
            </w:pPr>
            <w:r/>
            <w:r>
              <w:rPr>
                <w:rFonts w:ascii="맑은 고딕" w:hAnsi="맑은 고딕" w:eastAsia="맑은 고딕"/>
                <w:sz w:val="18"/>
              </w:rPr>
              <w:t>−0.097 ***</w:t>
            </w:r>
          </w:p>
        </w:tc>
        <w:tc>
          <w:tcPr>
            <w:tcW w:type="dxa" w:w="1871"/>
          </w:tcPr>
          <w:p>
            <w:pPr>
              <w:jc w:val="center"/>
            </w:pPr>
            <w:r/>
            <w:r>
              <w:rPr>
                <w:rFonts w:ascii="맑은 고딕" w:hAnsi="맑은 고딕" w:eastAsia="맑은 고딕"/>
                <w:sz w:val="18"/>
              </w:rPr>
              <w:t>−0.063 ***</w:t>
            </w:r>
          </w:p>
        </w:tc>
        <w:tc>
          <w:tcPr>
            <w:tcW w:type="dxa" w:w="1871"/>
          </w:tcPr>
          <w:p>
            <w:pPr>
              <w:jc w:val="center"/>
            </w:pPr>
            <w:r/>
            <w:r>
              <w:rPr>
                <w:rFonts w:ascii="맑은 고딕" w:hAnsi="맑은 고딕" w:eastAsia="맑은 고딕"/>
                <w:sz w:val="18"/>
              </w:rPr>
              <w:t>−0.207 ***</w:t>
            </w:r>
          </w:p>
        </w:tc>
      </w:tr>
      <w:tr>
        <w:tc>
          <w:tcPr>
            <w:tcW w:type="dxa" w:w="2268"/>
          </w:tcPr>
          <w:p>
            <w:pPr>
              <w:jc w:val="left"/>
            </w:pPr>
            <w:r/>
            <w:r>
              <w:rPr>
                <w:rFonts w:ascii="맑은 고딕" w:hAnsi="맑은 고딕" w:eastAsia="맑은 고딕"/>
                <w:sz w:val="18"/>
              </w:rPr>
            </w:r>
          </w:p>
        </w:tc>
        <w:tc>
          <w:tcPr>
            <w:tcW w:type="dxa" w:w="1871"/>
          </w:tcPr>
          <w:p>
            <w:pPr>
              <w:jc w:val="center"/>
            </w:pPr>
            <w:r/>
            <w:r>
              <w:rPr>
                <w:rFonts w:ascii="맑은 고딕" w:hAnsi="맑은 고딕" w:eastAsia="맑은 고딕"/>
                <w:sz w:val="18"/>
              </w:rPr>
              <w:t>(−683)</w:t>
            </w:r>
          </w:p>
        </w:tc>
        <w:tc>
          <w:tcPr>
            <w:tcW w:type="dxa" w:w="1871"/>
          </w:tcPr>
          <w:p>
            <w:pPr>
              <w:jc w:val="center"/>
            </w:pPr>
            <w:r/>
            <w:r>
              <w:rPr>
                <w:rFonts w:ascii="맑은 고딕" w:hAnsi="맑은 고딕" w:eastAsia="맑은 고딕"/>
                <w:sz w:val="18"/>
              </w:rPr>
              <w:t>(−496)</w:t>
            </w:r>
          </w:p>
        </w:tc>
        <w:tc>
          <w:tcPr>
            <w:tcW w:type="dxa" w:w="1871"/>
          </w:tcPr>
          <w:p>
            <w:pPr>
              <w:jc w:val="center"/>
            </w:pPr>
            <w:r/>
            <w:r>
              <w:rPr>
                <w:rFonts w:ascii="맑은 고딕" w:hAnsi="맑은 고딕" w:eastAsia="맑은 고딕"/>
                <w:sz w:val="18"/>
              </w:rPr>
              <w:t>(−529)</w:t>
            </w:r>
          </w:p>
        </w:tc>
      </w:tr>
      <w:tr>
        <w:tc>
          <w:tcPr>
            <w:tcW w:type="dxa" w:w="2268"/>
          </w:tcPr>
          <w:p>
            <w:pPr>
              <w:jc w:val="left"/>
            </w:pPr>
            <w:r/>
            <w:r>
              <w:rPr>
                <w:rFonts w:ascii="맑은 고딕" w:hAnsi="맑은 고딕" w:eastAsia="맑은 고딕"/>
                <w:sz w:val="18"/>
              </w:rPr>
              <w:t>ln(전용면적)</w:t>
            </w:r>
          </w:p>
        </w:tc>
        <w:tc>
          <w:tcPr>
            <w:tcW w:type="dxa" w:w="1871"/>
          </w:tcPr>
          <w:p>
            <w:pPr>
              <w:jc w:val="center"/>
            </w:pPr>
            <w:r/>
            <w:r>
              <w:rPr>
                <w:rFonts w:ascii="맑은 고딕" w:hAnsi="맑은 고딕" w:eastAsia="맑은 고딕"/>
                <w:sz w:val="18"/>
              </w:rPr>
              <w:t>+0.107 ***</w:t>
            </w:r>
          </w:p>
        </w:tc>
        <w:tc>
          <w:tcPr>
            <w:tcW w:type="dxa" w:w="1871"/>
          </w:tcPr>
          <w:p>
            <w:pPr>
              <w:jc w:val="center"/>
            </w:pPr>
            <w:r/>
            <w:r>
              <w:rPr>
                <w:rFonts w:ascii="맑은 고딕" w:hAnsi="맑은 고딕" w:eastAsia="맑은 고딕"/>
                <w:sz w:val="18"/>
              </w:rPr>
              <w:t>+0.065 ***</w:t>
            </w:r>
          </w:p>
        </w:tc>
        <w:tc>
          <w:tcPr>
            <w:tcW w:type="dxa" w:w="1871"/>
          </w:tcPr>
          <w:p>
            <w:pPr>
              <w:jc w:val="center"/>
            </w:pPr>
            <w:r/>
            <w:r>
              <w:rPr>
                <w:rFonts w:ascii="맑은 고딕" w:hAnsi="맑은 고딕" w:eastAsia="맑은 고딕"/>
                <w:sz w:val="18"/>
              </w:rPr>
              <w:t>+0.199 ***</w:t>
            </w:r>
          </w:p>
        </w:tc>
      </w:tr>
      <w:tr>
        <w:tc>
          <w:tcPr>
            <w:tcW w:type="dxa" w:w="2268"/>
          </w:tcPr>
          <w:p>
            <w:pPr>
              <w:jc w:val="left"/>
            </w:pPr>
            <w:r/>
            <w:r>
              <w:rPr>
                <w:rFonts w:ascii="맑은 고딕" w:hAnsi="맑은 고딕" w:eastAsia="맑은 고딕"/>
                <w:sz w:val="18"/>
              </w:rPr>
              <w:t>건축연령</w:t>
            </w:r>
          </w:p>
        </w:tc>
        <w:tc>
          <w:tcPr>
            <w:tcW w:type="dxa" w:w="1871"/>
          </w:tcPr>
          <w:p>
            <w:pPr>
              <w:jc w:val="center"/>
            </w:pPr>
            <w:r/>
            <w:r>
              <w:rPr>
                <w:rFonts w:ascii="맑은 고딕" w:hAnsi="맑은 고딕" w:eastAsia="맑은 고딕"/>
                <w:sz w:val="18"/>
              </w:rPr>
              <w:t>−0.0024 ***</w:t>
            </w:r>
          </w:p>
        </w:tc>
        <w:tc>
          <w:tcPr>
            <w:tcW w:type="dxa" w:w="1871"/>
          </w:tcPr>
          <w:p>
            <w:pPr>
              <w:jc w:val="center"/>
            </w:pPr>
            <w:r/>
            <w:r>
              <w:rPr>
                <w:rFonts w:ascii="맑은 고딕" w:hAnsi="맑은 고딕" w:eastAsia="맑은 고딕"/>
                <w:sz w:val="18"/>
              </w:rPr>
              <w:t>−0.0014 ***</w:t>
            </w:r>
          </w:p>
        </w:tc>
        <w:tc>
          <w:tcPr>
            <w:tcW w:type="dxa" w:w="1871"/>
          </w:tcPr>
          <w:p>
            <w:pPr>
              <w:jc w:val="center"/>
            </w:pPr>
            <w:r/>
            <w:r>
              <w:rPr>
                <w:rFonts w:ascii="맑은 고딕" w:hAnsi="맑은 고딕" w:eastAsia="맑은 고딕"/>
                <w:sz w:val="18"/>
              </w:rPr>
              <w:t>−0.0056 ***</w:t>
            </w:r>
          </w:p>
        </w:tc>
      </w:tr>
      <w:tr>
        <w:tc>
          <w:tcPr>
            <w:tcW w:type="dxa" w:w="2268"/>
          </w:tcPr>
          <w:p>
            <w:pPr>
              <w:jc w:val="left"/>
            </w:pPr>
            <w:r/>
            <w:r>
              <w:rPr>
                <w:rFonts w:ascii="맑은 고딕" w:hAnsi="맑은 고딕" w:eastAsia="맑은 고딕"/>
                <w:sz w:val="18"/>
              </w:rPr>
              <w:t>연도·지역 고정효과</w:t>
            </w:r>
          </w:p>
        </w:tc>
        <w:tc>
          <w:tcPr>
            <w:tcW w:type="dxa" w:w="1871"/>
          </w:tcPr>
          <w:p>
            <w:pPr>
              <w:jc w:val="center"/>
            </w:pPr>
            <w:r/>
            <w:r>
              <w:rPr>
                <w:rFonts w:ascii="맑은 고딕" w:hAnsi="맑은 고딕" w:eastAsia="맑은 고딕"/>
                <w:sz w:val="18"/>
              </w:rPr>
              <w:t>포함</w:t>
            </w:r>
          </w:p>
        </w:tc>
        <w:tc>
          <w:tcPr>
            <w:tcW w:type="dxa" w:w="1871"/>
          </w:tcPr>
          <w:p>
            <w:pPr>
              <w:jc w:val="center"/>
            </w:pPr>
            <w:r/>
            <w:r>
              <w:rPr>
                <w:rFonts w:ascii="맑은 고딕" w:hAnsi="맑은 고딕" w:eastAsia="맑은 고딕"/>
                <w:sz w:val="18"/>
              </w:rPr>
              <w:t>포함</w:t>
            </w:r>
          </w:p>
        </w:tc>
        <w:tc>
          <w:tcPr>
            <w:tcW w:type="dxa" w:w="1871"/>
          </w:tcPr>
          <w:p>
            <w:pPr>
              <w:jc w:val="center"/>
            </w:pPr>
            <w:r/>
            <w:r>
              <w:rPr>
                <w:rFonts w:ascii="맑은 고딕" w:hAnsi="맑은 고딕" w:eastAsia="맑은 고딕"/>
                <w:sz w:val="18"/>
              </w:rPr>
              <w:t>포함</w:t>
            </w:r>
          </w:p>
        </w:tc>
      </w:tr>
      <w:tr>
        <w:tc>
          <w:tcPr>
            <w:tcW w:type="dxa" w:w="2268"/>
          </w:tcPr>
          <w:p>
            <w:pPr>
              <w:jc w:val="left"/>
            </w:pPr>
            <w:r/>
            <w:r>
              <w:rPr>
                <w:rFonts w:ascii="맑은 고딕" w:hAnsi="맑은 고딕" w:eastAsia="맑은 고딕"/>
                <w:sz w:val="18"/>
              </w:rPr>
              <w:t>R²</w:t>
            </w:r>
          </w:p>
        </w:tc>
        <w:tc>
          <w:tcPr>
            <w:tcW w:type="dxa" w:w="1871"/>
          </w:tcPr>
          <w:p>
            <w:pPr>
              <w:jc w:val="center"/>
            </w:pPr>
            <w:r/>
            <w:r>
              <w:rPr>
                <w:rFonts w:ascii="맑은 고딕" w:hAnsi="맑은 고딕" w:eastAsia="맑은 고딕"/>
                <w:sz w:val="18"/>
              </w:rPr>
              <w:t>0.244</w:t>
            </w:r>
          </w:p>
        </w:tc>
        <w:tc>
          <w:tcPr>
            <w:tcW w:type="dxa" w:w="1871"/>
          </w:tcPr>
          <w:p>
            <w:pPr>
              <w:jc w:val="center"/>
            </w:pPr>
            <w:r/>
            <w:r>
              <w:rPr>
                <w:rFonts w:ascii="맑은 고딕" w:hAnsi="맑은 고딕" w:eastAsia="맑은 고딕"/>
                <w:sz w:val="18"/>
              </w:rPr>
              <w:t>0.226</w:t>
            </w:r>
          </w:p>
        </w:tc>
        <w:tc>
          <w:tcPr>
            <w:tcW w:type="dxa" w:w="1871"/>
          </w:tcPr>
          <w:p>
            <w:pPr>
              <w:jc w:val="center"/>
            </w:pPr>
            <w:r/>
            <w:r>
              <w:rPr>
                <w:rFonts w:ascii="맑은 고딕" w:hAnsi="맑은 고딕" w:eastAsia="맑은 고딕"/>
                <w:sz w:val="18"/>
              </w:rPr>
              <w:t>0.432</w:t>
            </w:r>
          </w:p>
        </w:tc>
      </w:tr>
      <w:tr>
        <w:tc>
          <w:tcPr>
            <w:tcW w:type="dxa" w:w="2268"/>
          </w:tcPr>
          <w:p>
            <w:pPr>
              <w:jc w:val="left"/>
            </w:pPr>
            <w:r/>
            <w:r>
              <w:rPr>
                <w:rFonts w:ascii="맑은 고딕" w:hAnsi="맑은 고딕" w:eastAsia="맑은 고딕"/>
                <w:sz w:val="18"/>
              </w:rPr>
              <w:t>관측수 N</w:t>
            </w:r>
          </w:p>
        </w:tc>
        <w:tc>
          <w:tcPr>
            <w:tcW w:type="dxa" w:w="1871"/>
          </w:tcPr>
          <w:p>
            <w:pPr>
              <w:jc w:val="center"/>
            </w:pPr>
            <w:r/>
            <w:r>
              <w:rPr>
                <w:rFonts w:ascii="맑은 고딕" w:hAnsi="맑은 고딕" w:eastAsia="맑은 고딕"/>
                <w:sz w:val="18"/>
              </w:rPr>
              <w:t>3,952,736</w:t>
            </w:r>
          </w:p>
        </w:tc>
        <w:tc>
          <w:tcPr>
            <w:tcW w:type="dxa" w:w="1871"/>
          </w:tcPr>
          <w:p>
            <w:pPr>
              <w:jc w:val="center"/>
            </w:pPr>
            <w:r/>
            <w:r>
              <w:rPr>
                <w:rFonts w:ascii="맑은 고딕" w:hAnsi="맑은 고딕" w:eastAsia="맑은 고딕"/>
                <w:sz w:val="18"/>
              </w:rPr>
              <w:t>3,156,563</w:t>
            </w:r>
          </w:p>
        </w:tc>
        <w:tc>
          <w:tcPr>
            <w:tcW w:type="dxa" w:w="1871"/>
          </w:tcPr>
          <w:p>
            <w:pPr>
              <w:jc w:val="center"/>
            </w:pPr>
            <w:r/>
            <w:r>
              <w:rPr>
                <w:rFonts w:ascii="맑은 고딕" w:hAnsi="맑은 고딕" w:eastAsia="맑은 고딕"/>
                <w:sz w:val="18"/>
              </w:rPr>
              <w:t>796,173</w:t>
            </w:r>
          </w:p>
        </w:tc>
      </w:tr>
    </w:tbl>
    <w:p>
      <w:pPr>
        <w:spacing w:after="200" w:line="312" w:lineRule="auto"/>
      </w:pPr>
      <w:r>
        <w:rPr>
          <w:rFonts w:ascii="맑은 고딕" w:hAnsi="맑은 고딕" w:eastAsia="맑은 고딕"/>
          <w:b w:val="0"/>
          <w:i/>
          <w:color w:val="444444"/>
          <w:sz w:val="16"/>
        </w:rPr>
        <w:t>주: 괄호는 t값, 강건표준오차(HC1). *** p&lt;0.001. 상호작용 모형에서 ln(실거래가)×연립다세대 = −0.061 (t=−230, p&lt;0.001).</w:t>
      </w:r>
    </w:p>
    <w:p>
      <w:pPr>
        <w:spacing w:after="120" w:line="312" w:lineRule="auto"/>
      </w:pPr>
      <w:r>
        <w:rPr>
          <w:rFonts w:ascii="맑은 고딕" w:hAnsi="맑은 고딕" w:eastAsia="맑은 고딕"/>
          <w:b w:val="0"/>
          <w:i w:val="0"/>
          <w:sz w:val="20"/>
        </w:rPr>
        <w:t>연도별 PRB(표 5)를 보면 아파트의 역진성은 연도에 따라 변동하나 대체로 약한 음(−)에 머무는 반면, 연립다세대는 전 기간 음(−)이며 최근으로 올수록 심화되어 2026년 −0.097에 이른다. 즉 연립다세대의 역진성은 구조적일 뿐 아니라 악화되는 추세다.</w:t>
      </w:r>
    </w:p>
    <w:p>
      <w:pPr>
        <w:spacing w:after="60" w:line="312" w:lineRule="auto"/>
      </w:pPr>
      <w:r>
        <w:rPr>
          <w:rFonts w:ascii="맑은 고딕" w:hAnsi="맑은 고딕" w:eastAsia="맑은 고딕"/>
          <w:b/>
          <w:i w:val="0"/>
          <w:sz w:val="20"/>
        </w:rPr>
        <w:t>표 5. 연도별 PRB (음수일수록 역진)</w:t>
      </w:r>
    </w:p>
    <w:tbl>
      <w:tblPr>
        <w:tblStyle w:val="TableGrid"/>
        <w:tblW w:type="auto" w:w="0"/>
        <w:jc w:val="center"/>
        <w:tblLook w:firstColumn="1" w:firstRow="1" w:lastColumn="0" w:lastRow="0" w:noHBand="0" w:noVBand="1" w:val="04A0"/>
      </w:tblPr>
      <w:tblGrid>
        <w:gridCol w:w="1108"/>
        <w:gridCol w:w="1108"/>
        <w:gridCol w:w="1108"/>
        <w:gridCol w:w="1108"/>
        <w:gridCol w:w="1108"/>
        <w:gridCol w:w="1108"/>
        <w:gridCol w:w="1108"/>
        <w:gridCol w:w="1108"/>
        <w:gridCol w:w="1108"/>
      </w:tblGrid>
      <w:tr>
        <w:tc>
          <w:tcPr>
            <w:tcW w:type="dxa" w:w="1361"/>
            <w:shd w:val="clear" w:color="auto" w:fill="D9E2F3"/>
          </w:tcPr>
          <w:p>
            <w:pPr>
              <w:jc w:val="center"/>
            </w:pPr>
            <w:r/>
            <w:r>
              <w:rPr>
                <w:rFonts w:ascii="맑은 고딕" w:hAnsi="맑은 고딕" w:eastAsia="맑은 고딕"/>
                <w:b/>
                <w:sz w:val="18"/>
              </w:rPr>
              <w:t>유형</w:t>
            </w:r>
          </w:p>
        </w:tc>
        <w:tc>
          <w:tcPr>
            <w:tcW w:type="dxa" w:w="884"/>
            <w:shd w:val="clear" w:color="auto" w:fill="D9E2F3"/>
          </w:tcPr>
          <w:p>
            <w:pPr>
              <w:jc w:val="center"/>
            </w:pPr>
            <w:r/>
            <w:r>
              <w:rPr>
                <w:rFonts w:ascii="맑은 고딕" w:hAnsi="맑은 고딕" w:eastAsia="맑은 고딕"/>
                <w:b/>
                <w:sz w:val="18"/>
              </w:rPr>
              <w:t>2019</w:t>
            </w:r>
          </w:p>
        </w:tc>
        <w:tc>
          <w:tcPr>
            <w:tcW w:type="dxa" w:w="884"/>
            <w:shd w:val="clear" w:color="auto" w:fill="D9E2F3"/>
          </w:tcPr>
          <w:p>
            <w:pPr>
              <w:jc w:val="center"/>
            </w:pPr>
            <w:r/>
            <w:r>
              <w:rPr>
                <w:rFonts w:ascii="맑은 고딕" w:hAnsi="맑은 고딕" w:eastAsia="맑은 고딕"/>
                <w:b/>
                <w:sz w:val="18"/>
              </w:rPr>
              <w:t>2020</w:t>
            </w:r>
          </w:p>
        </w:tc>
        <w:tc>
          <w:tcPr>
            <w:tcW w:type="dxa" w:w="884"/>
            <w:shd w:val="clear" w:color="auto" w:fill="D9E2F3"/>
          </w:tcPr>
          <w:p>
            <w:pPr>
              <w:jc w:val="center"/>
            </w:pPr>
            <w:r/>
            <w:r>
              <w:rPr>
                <w:rFonts w:ascii="맑은 고딕" w:hAnsi="맑은 고딕" w:eastAsia="맑은 고딕"/>
                <w:b/>
                <w:sz w:val="18"/>
              </w:rPr>
              <w:t>2021</w:t>
            </w:r>
          </w:p>
        </w:tc>
        <w:tc>
          <w:tcPr>
            <w:tcW w:type="dxa" w:w="884"/>
            <w:shd w:val="clear" w:color="auto" w:fill="D9E2F3"/>
          </w:tcPr>
          <w:p>
            <w:pPr>
              <w:jc w:val="center"/>
            </w:pPr>
            <w:r/>
            <w:r>
              <w:rPr>
                <w:rFonts w:ascii="맑은 고딕" w:hAnsi="맑은 고딕" w:eastAsia="맑은 고딕"/>
                <w:b/>
                <w:sz w:val="18"/>
              </w:rPr>
              <w:t>2022</w:t>
            </w:r>
          </w:p>
        </w:tc>
        <w:tc>
          <w:tcPr>
            <w:tcW w:type="dxa" w:w="884"/>
            <w:shd w:val="clear" w:color="auto" w:fill="D9E2F3"/>
          </w:tcPr>
          <w:p>
            <w:pPr>
              <w:jc w:val="center"/>
            </w:pPr>
            <w:r/>
            <w:r>
              <w:rPr>
                <w:rFonts w:ascii="맑은 고딕" w:hAnsi="맑은 고딕" w:eastAsia="맑은 고딕"/>
                <w:b/>
                <w:sz w:val="18"/>
              </w:rPr>
              <w:t>2023</w:t>
            </w:r>
          </w:p>
        </w:tc>
        <w:tc>
          <w:tcPr>
            <w:tcW w:type="dxa" w:w="884"/>
            <w:shd w:val="clear" w:color="auto" w:fill="D9E2F3"/>
          </w:tcPr>
          <w:p>
            <w:pPr>
              <w:jc w:val="center"/>
            </w:pPr>
            <w:r/>
            <w:r>
              <w:rPr>
                <w:rFonts w:ascii="맑은 고딕" w:hAnsi="맑은 고딕" w:eastAsia="맑은 고딕"/>
                <w:b/>
                <w:sz w:val="18"/>
              </w:rPr>
              <w:t>2024</w:t>
            </w:r>
          </w:p>
        </w:tc>
        <w:tc>
          <w:tcPr>
            <w:tcW w:type="dxa" w:w="884"/>
            <w:shd w:val="clear" w:color="auto" w:fill="D9E2F3"/>
          </w:tcPr>
          <w:p>
            <w:pPr>
              <w:jc w:val="center"/>
            </w:pPr>
            <w:r/>
            <w:r>
              <w:rPr>
                <w:rFonts w:ascii="맑은 고딕" w:hAnsi="맑은 고딕" w:eastAsia="맑은 고딕"/>
                <w:b/>
                <w:sz w:val="18"/>
              </w:rPr>
              <w:t>2025</w:t>
            </w:r>
          </w:p>
        </w:tc>
        <w:tc>
          <w:tcPr>
            <w:tcW w:type="dxa" w:w="884"/>
            <w:shd w:val="clear" w:color="auto" w:fill="D9E2F3"/>
          </w:tcPr>
          <w:p>
            <w:pPr>
              <w:jc w:val="center"/>
            </w:pPr>
            <w:r/>
            <w:r>
              <w:rPr>
                <w:rFonts w:ascii="맑은 고딕" w:hAnsi="맑은 고딕" w:eastAsia="맑은 고딕"/>
                <w:b/>
                <w:sz w:val="18"/>
              </w:rPr>
              <w:t>2026</w:t>
            </w:r>
          </w:p>
        </w:tc>
      </w:tr>
      <w:tr>
        <w:tc>
          <w:tcPr>
            <w:tcW w:type="dxa" w:w="1361"/>
          </w:tcPr>
          <w:p>
            <w:pPr>
              <w:jc w:val="left"/>
            </w:pPr>
            <w:r/>
            <w:r>
              <w:rPr>
                <w:rFonts w:ascii="맑은 고딕" w:hAnsi="맑은 고딕" w:eastAsia="맑은 고딕"/>
                <w:sz w:val="18"/>
              </w:rPr>
              <w:t>아파트</w:t>
            </w:r>
          </w:p>
        </w:tc>
        <w:tc>
          <w:tcPr>
            <w:tcW w:type="dxa" w:w="884"/>
          </w:tcPr>
          <w:p>
            <w:pPr>
              <w:jc w:val="center"/>
            </w:pPr>
            <w:r/>
            <w:r>
              <w:rPr>
                <w:rFonts w:ascii="맑은 고딕" w:hAnsi="맑은 고딕" w:eastAsia="맑은 고딕"/>
                <w:sz w:val="18"/>
              </w:rPr>
              <w:t>−0.053</w:t>
            </w:r>
          </w:p>
        </w:tc>
        <w:tc>
          <w:tcPr>
            <w:tcW w:type="dxa" w:w="884"/>
          </w:tcPr>
          <w:p>
            <w:pPr>
              <w:jc w:val="center"/>
            </w:pPr>
            <w:r/>
            <w:r>
              <w:rPr>
                <w:rFonts w:ascii="맑은 고딕" w:hAnsi="맑은 고딕" w:eastAsia="맑은 고딕"/>
                <w:sz w:val="18"/>
              </w:rPr>
              <w:t>−0.048</w:t>
            </w:r>
          </w:p>
        </w:tc>
        <w:tc>
          <w:tcPr>
            <w:tcW w:type="dxa" w:w="884"/>
          </w:tcPr>
          <w:p>
            <w:pPr>
              <w:jc w:val="center"/>
            </w:pPr>
            <w:r/>
            <w:r>
              <w:rPr>
                <w:rFonts w:ascii="맑은 고딕" w:hAnsi="맑은 고딕" w:eastAsia="맑은 고딕"/>
                <w:sz w:val="18"/>
              </w:rPr>
              <w:t>−0.027</w:t>
            </w:r>
          </w:p>
        </w:tc>
        <w:tc>
          <w:tcPr>
            <w:tcW w:type="dxa" w:w="884"/>
          </w:tcPr>
          <w:p>
            <w:pPr>
              <w:jc w:val="center"/>
            </w:pPr>
            <w:r/>
            <w:r>
              <w:rPr>
                <w:rFonts w:ascii="맑은 고딕" w:hAnsi="맑은 고딕" w:eastAsia="맑은 고딕"/>
                <w:sz w:val="18"/>
              </w:rPr>
              <w:t>+0.028</w:t>
            </w:r>
          </w:p>
        </w:tc>
        <w:tc>
          <w:tcPr>
            <w:tcW w:type="dxa" w:w="884"/>
          </w:tcPr>
          <w:p>
            <w:pPr>
              <w:jc w:val="center"/>
            </w:pPr>
            <w:r/>
            <w:r>
              <w:rPr>
                <w:rFonts w:ascii="맑은 고딕" w:hAnsi="맑은 고딕" w:eastAsia="맑은 고딕"/>
                <w:sz w:val="18"/>
              </w:rPr>
              <w:t>−0.004</w:t>
            </w:r>
          </w:p>
        </w:tc>
        <w:tc>
          <w:tcPr>
            <w:tcW w:type="dxa" w:w="884"/>
          </w:tcPr>
          <w:p>
            <w:pPr>
              <w:jc w:val="center"/>
            </w:pPr>
            <w:r/>
            <w:r>
              <w:rPr>
                <w:rFonts w:ascii="맑은 고딕" w:hAnsi="맑은 고딕" w:eastAsia="맑은 고딕"/>
                <w:sz w:val="18"/>
              </w:rPr>
              <w:t>−0.013</w:t>
            </w:r>
          </w:p>
        </w:tc>
        <w:tc>
          <w:tcPr>
            <w:tcW w:type="dxa" w:w="884"/>
          </w:tcPr>
          <w:p>
            <w:pPr>
              <w:jc w:val="center"/>
            </w:pPr>
            <w:r/>
            <w:r>
              <w:rPr>
                <w:rFonts w:ascii="맑은 고딕" w:hAnsi="맑은 고딕" w:eastAsia="맑은 고딕"/>
                <w:sz w:val="18"/>
              </w:rPr>
              <w:t>−0.022</w:t>
            </w:r>
          </w:p>
        </w:tc>
        <w:tc>
          <w:tcPr>
            <w:tcW w:type="dxa" w:w="884"/>
          </w:tcPr>
          <w:p>
            <w:pPr>
              <w:jc w:val="center"/>
            </w:pPr>
            <w:r/>
            <w:r>
              <w:rPr>
                <w:rFonts w:ascii="맑은 고딕" w:hAnsi="맑은 고딕" w:eastAsia="맑은 고딕"/>
                <w:sz w:val="18"/>
              </w:rPr>
              <w:t>−0.022</w:t>
            </w:r>
          </w:p>
        </w:tc>
      </w:tr>
      <w:tr>
        <w:tc>
          <w:tcPr>
            <w:tcW w:type="dxa" w:w="1361"/>
          </w:tcPr>
          <w:p>
            <w:pPr>
              <w:jc w:val="left"/>
            </w:pPr>
            <w:r/>
            <w:r>
              <w:rPr>
                <w:rFonts w:ascii="맑은 고딕" w:hAnsi="맑은 고딕" w:eastAsia="맑은 고딕"/>
                <w:sz w:val="18"/>
              </w:rPr>
              <w:t>연립다세대</w:t>
            </w:r>
          </w:p>
        </w:tc>
        <w:tc>
          <w:tcPr>
            <w:tcW w:type="dxa" w:w="884"/>
          </w:tcPr>
          <w:p>
            <w:pPr>
              <w:jc w:val="center"/>
            </w:pPr>
            <w:r/>
            <w:r>
              <w:rPr>
                <w:rFonts w:ascii="맑은 고딕" w:hAnsi="맑은 고딕" w:eastAsia="맑은 고딕"/>
                <w:sz w:val="18"/>
              </w:rPr>
              <w:t>−0.062</w:t>
            </w:r>
          </w:p>
        </w:tc>
        <w:tc>
          <w:tcPr>
            <w:tcW w:type="dxa" w:w="884"/>
          </w:tcPr>
          <w:p>
            <w:pPr>
              <w:jc w:val="center"/>
            </w:pPr>
            <w:r/>
            <w:r>
              <w:rPr>
                <w:rFonts w:ascii="맑은 고딕" w:hAnsi="맑은 고딕" w:eastAsia="맑은 고딕"/>
                <w:sz w:val="18"/>
              </w:rPr>
              <w:t>−0.071</w:t>
            </w:r>
          </w:p>
        </w:tc>
        <w:tc>
          <w:tcPr>
            <w:tcW w:type="dxa" w:w="884"/>
          </w:tcPr>
          <w:p>
            <w:pPr>
              <w:jc w:val="center"/>
            </w:pPr>
            <w:r/>
            <w:r>
              <w:rPr>
                <w:rFonts w:ascii="맑은 고딕" w:hAnsi="맑은 고딕" w:eastAsia="맑은 고딕"/>
                <w:sz w:val="18"/>
              </w:rPr>
              <w:t>−0.053</w:t>
            </w:r>
          </w:p>
        </w:tc>
        <w:tc>
          <w:tcPr>
            <w:tcW w:type="dxa" w:w="884"/>
          </w:tcPr>
          <w:p>
            <w:pPr>
              <w:jc w:val="center"/>
            </w:pPr>
            <w:r/>
            <w:r>
              <w:rPr>
                <w:rFonts w:ascii="맑은 고딕" w:hAnsi="맑은 고딕" w:eastAsia="맑은 고딕"/>
                <w:sz w:val="18"/>
              </w:rPr>
              <w:t>−0.047</w:t>
            </w:r>
          </w:p>
        </w:tc>
        <w:tc>
          <w:tcPr>
            <w:tcW w:type="dxa" w:w="884"/>
          </w:tcPr>
          <w:p>
            <w:pPr>
              <w:jc w:val="center"/>
            </w:pPr>
            <w:r/>
            <w:r>
              <w:rPr>
                <w:rFonts w:ascii="맑은 고딕" w:hAnsi="맑은 고딕" w:eastAsia="맑은 고딕"/>
                <w:sz w:val="18"/>
              </w:rPr>
              <w:t>−0.051</w:t>
            </w:r>
          </w:p>
        </w:tc>
        <w:tc>
          <w:tcPr>
            <w:tcW w:type="dxa" w:w="884"/>
          </w:tcPr>
          <w:p>
            <w:pPr>
              <w:jc w:val="center"/>
            </w:pPr>
            <w:r/>
            <w:r>
              <w:rPr>
                <w:rFonts w:ascii="맑은 고딕" w:hAnsi="맑은 고딕" w:eastAsia="맑은 고딕"/>
                <w:sz w:val="18"/>
              </w:rPr>
              <w:t>−0.062</w:t>
            </w:r>
          </w:p>
        </w:tc>
        <w:tc>
          <w:tcPr>
            <w:tcW w:type="dxa" w:w="884"/>
          </w:tcPr>
          <w:p>
            <w:pPr>
              <w:jc w:val="center"/>
            </w:pPr>
            <w:r/>
            <w:r>
              <w:rPr>
                <w:rFonts w:ascii="맑은 고딕" w:hAnsi="맑은 고딕" w:eastAsia="맑은 고딕"/>
                <w:sz w:val="18"/>
              </w:rPr>
              <w:t>−0.091</w:t>
            </w:r>
          </w:p>
        </w:tc>
        <w:tc>
          <w:tcPr>
            <w:tcW w:type="dxa" w:w="884"/>
          </w:tcPr>
          <w:p>
            <w:pPr>
              <w:jc w:val="center"/>
            </w:pPr>
            <w:r/>
            <w:r>
              <w:rPr>
                <w:rFonts w:ascii="맑은 고딕" w:hAnsi="맑은 고딕" w:eastAsia="맑은 고딕"/>
                <w:sz w:val="18"/>
              </w:rPr>
              <w:t>−0.097</w:t>
            </w:r>
          </w:p>
        </w:tc>
      </w:tr>
    </w:tbl>
    <w:p>
      <w:pPr>
        <w:pStyle w:val="Heading2"/>
      </w:pPr>
      <w:r>
        <w:rPr>
          <w:rFonts w:ascii="맑은 고딕" w:hAnsi="맑은 고딕" w:eastAsia="맑은 고딕"/>
          <w:b/>
        </w:rPr>
        <w:t>3.3 세그먼트별 현실화율</w:t>
      </w:r>
    </w:p>
    <w:p>
      <w:pPr>
        <w:spacing w:after="120" w:line="312" w:lineRule="auto"/>
      </w:pPr>
      <w:r>
        <w:rPr>
          <w:rFonts w:ascii="맑은 고딕" w:hAnsi="맑은 고딕" w:eastAsia="맑은 고딕"/>
          <w:b w:val="0"/>
          <w:i w:val="0"/>
          <w:sz w:val="20"/>
        </w:rPr>
        <w:t>가격대별(표 6)로 역진성이 직관적으로 드러난다. 두 유형 모두 저가 분위에서 고가 분위로 갈수록 현실화율이 낮아지며, 그 낙폭은 연립다세대(68.0%→54.2%, 13.8%p)가 아파트(66.2%→59.7%, 6.5%p)보다 크다. 면적구간별로는 아파트가 소·대형에서 다소 높은 U자형, 연립다세대는 중형에서 높은 역U자형 경향을 보인다.</w:t>
      </w:r>
    </w:p>
    <w:p>
      <w:pPr>
        <w:spacing w:after="60" w:line="312" w:lineRule="auto"/>
      </w:pPr>
      <w:r>
        <w:rPr>
          <w:rFonts w:ascii="맑은 고딕" w:hAnsi="맑은 고딕" w:eastAsia="맑은 고딕"/>
          <w:b/>
          <w:i w:val="0"/>
          <w:sz w:val="20"/>
        </w:rPr>
        <w:t>표 6. 세그먼트별 현실화율 중앙값</w:t>
      </w:r>
    </w:p>
    <w:tbl>
      <w:tblPr>
        <w:tblStyle w:val="TableGrid"/>
        <w:tblW w:type="auto" w:w="0"/>
        <w:jc w:val="center"/>
        <w:tblLook w:firstColumn="1" w:firstRow="1" w:lastColumn="0" w:lastRow="0" w:noHBand="0" w:noVBand="1" w:val="04A0"/>
      </w:tblPr>
      <w:tblGrid>
        <w:gridCol w:w="3324"/>
        <w:gridCol w:w="3324"/>
        <w:gridCol w:w="3324"/>
      </w:tblGrid>
      <w:tr>
        <w:tc>
          <w:tcPr>
            <w:tcW w:type="dxa" w:w="2835"/>
            <w:shd w:val="clear" w:color="auto" w:fill="D9E2F3"/>
          </w:tcPr>
          <w:p>
            <w:pPr>
              <w:jc w:val="center"/>
            </w:pPr>
            <w:r/>
            <w:r>
              <w:rPr>
                <w:rFonts w:ascii="맑은 고딕" w:hAnsi="맑은 고딕" w:eastAsia="맑은 고딕"/>
                <w:b/>
                <w:sz w:val="18"/>
              </w:rPr>
              <w:t>구분</w:t>
            </w:r>
          </w:p>
        </w:tc>
        <w:tc>
          <w:tcPr>
            <w:tcW w:type="dxa" w:w="2494"/>
            <w:shd w:val="clear" w:color="auto" w:fill="D9E2F3"/>
          </w:tcPr>
          <w:p>
            <w:pPr>
              <w:jc w:val="center"/>
            </w:pPr>
            <w:r/>
            <w:r>
              <w:rPr>
                <w:rFonts w:ascii="맑은 고딕" w:hAnsi="맑은 고딕" w:eastAsia="맑은 고딕"/>
                <w:b/>
                <w:sz w:val="18"/>
              </w:rPr>
              <w:t>아파트</w:t>
            </w:r>
          </w:p>
        </w:tc>
        <w:tc>
          <w:tcPr>
            <w:tcW w:type="dxa" w:w="2494"/>
            <w:shd w:val="clear" w:color="auto" w:fill="D9E2F3"/>
          </w:tcPr>
          <w:p>
            <w:pPr>
              <w:jc w:val="center"/>
            </w:pPr>
            <w:r/>
            <w:r>
              <w:rPr>
                <w:rFonts w:ascii="맑은 고딕" w:hAnsi="맑은 고딕" w:eastAsia="맑은 고딕"/>
                <w:b/>
                <w:sz w:val="18"/>
              </w:rPr>
              <w:t>연립다세대</w:t>
            </w:r>
          </w:p>
        </w:tc>
      </w:tr>
      <w:tr>
        <w:tc>
          <w:tcPr>
            <w:tcW w:type="dxa" w:w="2835"/>
          </w:tcPr>
          <w:p>
            <w:pPr>
              <w:jc w:val="left"/>
            </w:pPr>
            <w:r/>
            <w:r>
              <w:rPr>
                <w:rFonts w:ascii="맑은 고딕" w:hAnsi="맑은 고딕" w:eastAsia="맑은 고딕"/>
                <w:sz w:val="18"/>
              </w:rPr>
              <w:t>[가격] 1분위(저가)</w:t>
            </w:r>
          </w:p>
        </w:tc>
        <w:tc>
          <w:tcPr>
            <w:tcW w:type="dxa" w:w="2494"/>
          </w:tcPr>
          <w:p>
            <w:pPr>
              <w:jc w:val="center"/>
            </w:pPr>
            <w:r/>
            <w:r>
              <w:rPr>
                <w:rFonts w:ascii="맑은 고딕" w:hAnsi="맑은 고딕" w:eastAsia="맑은 고딕"/>
                <w:sz w:val="18"/>
              </w:rPr>
              <w:t>0.662</w:t>
            </w:r>
          </w:p>
        </w:tc>
        <w:tc>
          <w:tcPr>
            <w:tcW w:type="dxa" w:w="2494"/>
          </w:tcPr>
          <w:p>
            <w:pPr>
              <w:jc w:val="center"/>
            </w:pPr>
            <w:r/>
            <w:r>
              <w:rPr>
                <w:rFonts w:ascii="맑은 고딕" w:hAnsi="맑은 고딕" w:eastAsia="맑은 고딕"/>
                <w:sz w:val="18"/>
              </w:rPr>
              <w:t>0.680</w:t>
            </w:r>
          </w:p>
        </w:tc>
      </w:tr>
      <w:tr>
        <w:tc>
          <w:tcPr>
            <w:tcW w:type="dxa" w:w="2835"/>
          </w:tcPr>
          <w:p>
            <w:pPr>
              <w:jc w:val="left"/>
            </w:pPr>
            <w:r/>
            <w:r>
              <w:rPr>
                <w:rFonts w:ascii="맑은 고딕" w:hAnsi="맑은 고딕" w:eastAsia="맑은 고딕"/>
                <w:sz w:val="18"/>
              </w:rPr>
              <w:t>[가격] 2분위</w:t>
            </w:r>
          </w:p>
        </w:tc>
        <w:tc>
          <w:tcPr>
            <w:tcW w:type="dxa" w:w="2494"/>
          </w:tcPr>
          <w:p>
            <w:pPr>
              <w:jc w:val="center"/>
            </w:pPr>
            <w:r/>
            <w:r>
              <w:rPr>
                <w:rFonts w:ascii="맑은 고딕" w:hAnsi="맑은 고딕" w:eastAsia="맑은 고딕"/>
                <w:sz w:val="18"/>
              </w:rPr>
              <w:t>0.644</w:t>
            </w:r>
          </w:p>
        </w:tc>
        <w:tc>
          <w:tcPr>
            <w:tcW w:type="dxa" w:w="2494"/>
          </w:tcPr>
          <w:p>
            <w:pPr>
              <w:jc w:val="center"/>
            </w:pPr>
            <w:r/>
            <w:r>
              <w:rPr>
                <w:rFonts w:ascii="맑은 고딕" w:hAnsi="맑은 고딕" w:eastAsia="맑은 고딕"/>
                <w:sz w:val="18"/>
              </w:rPr>
              <w:t>0.628</w:t>
            </w:r>
          </w:p>
        </w:tc>
      </w:tr>
      <w:tr>
        <w:tc>
          <w:tcPr>
            <w:tcW w:type="dxa" w:w="2835"/>
          </w:tcPr>
          <w:p>
            <w:pPr>
              <w:jc w:val="left"/>
            </w:pPr>
            <w:r/>
            <w:r>
              <w:rPr>
                <w:rFonts w:ascii="맑은 고딕" w:hAnsi="맑은 고딕" w:eastAsia="맑은 고딕"/>
                <w:sz w:val="18"/>
              </w:rPr>
              <w:t>[가격] 3분위</w:t>
            </w:r>
          </w:p>
        </w:tc>
        <w:tc>
          <w:tcPr>
            <w:tcW w:type="dxa" w:w="2494"/>
          </w:tcPr>
          <w:p>
            <w:pPr>
              <w:jc w:val="center"/>
            </w:pPr>
            <w:r/>
            <w:r>
              <w:rPr>
                <w:rFonts w:ascii="맑은 고딕" w:hAnsi="맑은 고딕" w:eastAsia="맑은 고딕"/>
                <w:sz w:val="18"/>
              </w:rPr>
              <w:t>0.628</w:t>
            </w:r>
          </w:p>
        </w:tc>
        <w:tc>
          <w:tcPr>
            <w:tcW w:type="dxa" w:w="2494"/>
          </w:tcPr>
          <w:p>
            <w:pPr>
              <w:jc w:val="center"/>
            </w:pPr>
            <w:r/>
            <w:r>
              <w:rPr>
                <w:rFonts w:ascii="맑은 고딕" w:hAnsi="맑은 고딕" w:eastAsia="맑은 고딕"/>
                <w:sz w:val="18"/>
              </w:rPr>
              <w:t>0.622</w:t>
            </w:r>
          </w:p>
        </w:tc>
      </w:tr>
      <w:tr>
        <w:tc>
          <w:tcPr>
            <w:tcW w:type="dxa" w:w="2835"/>
          </w:tcPr>
          <w:p>
            <w:pPr>
              <w:jc w:val="left"/>
            </w:pPr>
            <w:r/>
            <w:r>
              <w:rPr>
                <w:rFonts w:ascii="맑은 고딕" w:hAnsi="맑은 고딕" w:eastAsia="맑은 고딕"/>
                <w:sz w:val="18"/>
              </w:rPr>
              <w:t>[가격] 4분위</w:t>
            </w:r>
          </w:p>
        </w:tc>
        <w:tc>
          <w:tcPr>
            <w:tcW w:type="dxa" w:w="2494"/>
          </w:tcPr>
          <w:p>
            <w:pPr>
              <w:jc w:val="center"/>
            </w:pPr>
            <w:r/>
            <w:r>
              <w:rPr>
                <w:rFonts w:ascii="맑은 고딕" w:hAnsi="맑은 고딕" w:eastAsia="맑은 고딕"/>
                <w:sz w:val="18"/>
              </w:rPr>
              <w:t>0.608</w:t>
            </w:r>
          </w:p>
        </w:tc>
        <w:tc>
          <w:tcPr>
            <w:tcW w:type="dxa" w:w="2494"/>
          </w:tcPr>
          <w:p>
            <w:pPr>
              <w:jc w:val="center"/>
            </w:pPr>
            <w:r/>
            <w:r>
              <w:rPr>
                <w:rFonts w:ascii="맑은 고딕" w:hAnsi="맑은 고딕" w:eastAsia="맑은 고딕"/>
                <w:sz w:val="18"/>
              </w:rPr>
              <w:t>0.602</w:t>
            </w:r>
          </w:p>
        </w:tc>
      </w:tr>
      <w:tr>
        <w:tc>
          <w:tcPr>
            <w:tcW w:type="dxa" w:w="2835"/>
          </w:tcPr>
          <w:p>
            <w:pPr>
              <w:jc w:val="left"/>
            </w:pPr>
            <w:r/>
            <w:r>
              <w:rPr>
                <w:rFonts w:ascii="맑은 고딕" w:hAnsi="맑은 고딕" w:eastAsia="맑은 고딕"/>
                <w:sz w:val="18"/>
              </w:rPr>
              <w:t>[가격] 5분위(고가)</w:t>
            </w:r>
          </w:p>
        </w:tc>
        <w:tc>
          <w:tcPr>
            <w:tcW w:type="dxa" w:w="2494"/>
          </w:tcPr>
          <w:p>
            <w:pPr>
              <w:jc w:val="center"/>
            </w:pPr>
            <w:r/>
            <w:r>
              <w:rPr>
                <w:rFonts w:ascii="맑은 고딕" w:hAnsi="맑은 고딕" w:eastAsia="맑은 고딕"/>
                <w:sz w:val="18"/>
              </w:rPr>
              <w:t>0.597</w:t>
            </w:r>
          </w:p>
        </w:tc>
        <w:tc>
          <w:tcPr>
            <w:tcW w:type="dxa" w:w="2494"/>
          </w:tcPr>
          <w:p>
            <w:pPr>
              <w:jc w:val="center"/>
            </w:pPr>
            <w:r/>
            <w:r>
              <w:rPr>
                <w:rFonts w:ascii="맑은 고딕" w:hAnsi="맑은 고딕" w:eastAsia="맑은 고딕"/>
                <w:sz w:val="18"/>
              </w:rPr>
              <w:t>0.542</w:t>
            </w:r>
          </w:p>
        </w:tc>
      </w:tr>
      <w:tr>
        <w:tc>
          <w:tcPr>
            <w:tcW w:type="dxa" w:w="2835"/>
          </w:tcPr>
          <w:p>
            <w:pPr>
              <w:jc w:val="left"/>
            </w:pPr>
            <w:r/>
            <w:r>
              <w:rPr>
                <w:rFonts w:ascii="맑은 고딕" w:hAnsi="맑은 고딕" w:eastAsia="맑은 고딕"/>
                <w:sz w:val="18"/>
              </w:rPr>
              <w:t>[면적] ~40㎡</w:t>
            </w:r>
          </w:p>
        </w:tc>
        <w:tc>
          <w:tcPr>
            <w:tcW w:type="dxa" w:w="2494"/>
          </w:tcPr>
          <w:p>
            <w:pPr>
              <w:jc w:val="center"/>
            </w:pPr>
            <w:r/>
            <w:r>
              <w:rPr>
                <w:rFonts w:ascii="맑은 고딕" w:hAnsi="맑은 고딕" w:eastAsia="맑은 고딕"/>
                <w:sz w:val="18"/>
              </w:rPr>
              <w:t>0.635</w:t>
            </w:r>
          </w:p>
        </w:tc>
        <w:tc>
          <w:tcPr>
            <w:tcW w:type="dxa" w:w="2494"/>
          </w:tcPr>
          <w:p>
            <w:pPr>
              <w:jc w:val="center"/>
            </w:pPr>
            <w:r/>
            <w:r>
              <w:rPr>
                <w:rFonts w:ascii="맑은 고딕" w:hAnsi="맑은 고딕" w:eastAsia="맑은 고딕"/>
                <w:sz w:val="18"/>
              </w:rPr>
              <w:t>0.590</w:t>
            </w:r>
          </w:p>
        </w:tc>
      </w:tr>
      <w:tr>
        <w:tc>
          <w:tcPr>
            <w:tcW w:type="dxa" w:w="2835"/>
          </w:tcPr>
          <w:p>
            <w:pPr>
              <w:jc w:val="left"/>
            </w:pPr>
            <w:r/>
            <w:r>
              <w:rPr>
                <w:rFonts w:ascii="맑은 고딕" w:hAnsi="맑은 고딕" w:eastAsia="맑은 고딕"/>
                <w:sz w:val="18"/>
              </w:rPr>
              <w:t>[면적] 40–60㎡</w:t>
            </w:r>
          </w:p>
        </w:tc>
        <w:tc>
          <w:tcPr>
            <w:tcW w:type="dxa" w:w="2494"/>
          </w:tcPr>
          <w:p>
            <w:pPr>
              <w:jc w:val="center"/>
            </w:pPr>
            <w:r/>
            <w:r>
              <w:rPr>
                <w:rFonts w:ascii="맑은 고딕" w:hAnsi="맑은 고딕" w:eastAsia="맑은 고딕"/>
                <w:sz w:val="18"/>
              </w:rPr>
              <w:t>0.622</w:t>
            </w:r>
          </w:p>
        </w:tc>
        <w:tc>
          <w:tcPr>
            <w:tcW w:type="dxa" w:w="2494"/>
          </w:tcPr>
          <w:p>
            <w:pPr>
              <w:jc w:val="center"/>
            </w:pPr>
            <w:r/>
            <w:r>
              <w:rPr>
                <w:rFonts w:ascii="맑은 고딕" w:hAnsi="맑은 고딕" w:eastAsia="맑은 고딕"/>
                <w:sz w:val="18"/>
              </w:rPr>
              <w:t>0.615</w:t>
            </w:r>
          </w:p>
        </w:tc>
      </w:tr>
      <w:tr>
        <w:tc>
          <w:tcPr>
            <w:tcW w:type="dxa" w:w="2835"/>
          </w:tcPr>
          <w:p>
            <w:pPr>
              <w:jc w:val="left"/>
            </w:pPr>
            <w:r/>
            <w:r>
              <w:rPr>
                <w:rFonts w:ascii="맑은 고딕" w:hAnsi="맑은 고딕" w:eastAsia="맑은 고딕"/>
                <w:sz w:val="18"/>
              </w:rPr>
              <w:t>[면적] 60–85㎡</w:t>
            </w:r>
          </w:p>
        </w:tc>
        <w:tc>
          <w:tcPr>
            <w:tcW w:type="dxa" w:w="2494"/>
          </w:tcPr>
          <w:p>
            <w:pPr>
              <w:jc w:val="center"/>
            </w:pPr>
            <w:r/>
            <w:r>
              <w:rPr>
                <w:rFonts w:ascii="맑은 고딕" w:hAnsi="맑은 고딕" w:eastAsia="맑은 고딕"/>
                <w:sz w:val="18"/>
              </w:rPr>
              <w:t>0.624</w:t>
            </w:r>
          </w:p>
        </w:tc>
        <w:tc>
          <w:tcPr>
            <w:tcW w:type="dxa" w:w="2494"/>
          </w:tcPr>
          <w:p>
            <w:pPr>
              <w:jc w:val="center"/>
            </w:pPr>
            <w:r/>
            <w:r>
              <w:rPr>
                <w:rFonts w:ascii="맑은 고딕" w:hAnsi="맑은 고딕" w:eastAsia="맑은 고딕"/>
                <w:sz w:val="18"/>
              </w:rPr>
              <w:t>0.634</w:t>
            </w:r>
          </w:p>
        </w:tc>
      </w:tr>
      <w:tr>
        <w:tc>
          <w:tcPr>
            <w:tcW w:type="dxa" w:w="2835"/>
          </w:tcPr>
          <w:p>
            <w:pPr>
              <w:jc w:val="left"/>
            </w:pPr>
            <w:r/>
            <w:r>
              <w:rPr>
                <w:rFonts w:ascii="맑은 고딕" w:hAnsi="맑은 고딕" w:eastAsia="맑은 고딕"/>
                <w:sz w:val="18"/>
              </w:rPr>
              <w:t>[면적] 85–135㎡</w:t>
            </w:r>
          </w:p>
        </w:tc>
        <w:tc>
          <w:tcPr>
            <w:tcW w:type="dxa" w:w="2494"/>
          </w:tcPr>
          <w:p>
            <w:pPr>
              <w:jc w:val="center"/>
            </w:pPr>
            <w:r/>
            <w:r>
              <w:rPr>
                <w:rFonts w:ascii="맑은 고딕" w:hAnsi="맑은 고딕" w:eastAsia="맑은 고딕"/>
                <w:sz w:val="18"/>
              </w:rPr>
              <w:t>0.627</w:t>
            </w:r>
          </w:p>
        </w:tc>
        <w:tc>
          <w:tcPr>
            <w:tcW w:type="dxa" w:w="2494"/>
          </w:tcPr>
          <w:p>
            <w:pPr>
              <w:jc w:val="center"/>
            </w:pPr>
            <w:r/>
            <w:r>
              <w:rPr>
                <w:rFonts w:ascii="맑은 고딕" w:hAnsi="맑은 고딕" w:eastAsia="맑은 고딕"/>
                <w:sz w:val="18"/>
              </w:rPr>
              <w:t>0.602</w:t>
            </w:r>
          </w:p>
        </w:tc>
      </w:tr>
      <w:tr>
        <w:tc>
          <w:tcPr>
            <w:tcW w:type="dxa" w:w="2835"/>
          </w:tcPr>
          <w:p>
            <w:pPr>
              <w:jc w:val="left"/>
            </w:pPr>
            <w:r/>
            <w:r>
              <w:rPr>
                <w:rFonts w:ascii="맑은 고딕" w:hAnsi="맑은 고딕" w:eastAsia="맑은 고딕"/>
                <w:sz w:val="18"/>
              </w:rPr>
              <w:t>[면적] 135㎡~</w:t>
            </w:r>
          </w:p>
        </w:tc>
        <w:tc>
          <w:tcPr>
            <w:tcW w:type="dxa" w:w="2494"/>
          </w:tcPr>
          <w:p>
            <w:pPr>
              <w:jc w:val="center"/>
            </w:pPr>
            <w:r/>
            <w:r>
              <w:rPr>
                <w:rFonts w:ascii="맑은 고딕" w:hAnsi="맑은 고딕" w:eastAsia="맑은 고딕"/>
                <w:sz w:val="18"/>
              </w:rPr>
              <w:t>0.637</w:t>
            </w:r>
          </w:p>
        </w:tc>
        <w:tc>
          <w:tcPr>
            <w:tcW w:type="dxa" w:w="2494"/>
          </w:tcPr>
          <w:p>
            <w:pPr>
              <w:jc w:val="center"/>
            </w:pPr>
            <w:r/>
            <w:r>
              <w:rPr>
                <w:rFonts w:ascii="맑은 고딕" w:hAnsi="맑은 고딕" w:eastAsia="맑은 고딕"/>
                <w:sz w:val="18"/>
              </w:rPr>
              <w:t>0.616</w:t>
            </w:r>
          </w:p>
        </w:tc>
      </w:tr>
    </w:tbl>
    <w:p>
      <w:pPr>
        <w:pStyle w:val="Heading2"/>
      </w:pPr>
      <w:r>
        <w:rPr>
          <w:rFonts w:ascii="맑은 고딕" w:hAnsi="맑은 고딕" w:eastAsia="맑은 고딕"/>
          <w:b/>
        </w:rPr>
        <w:t>3.4 지역층화 분석</w:t>
      </w:r>
    </w:p>
    <w:p>
      <w:pPr>
        <w:spacing w:after="120" w:line="312" w:lineRule="auto"/>
      </w:pPr>
      <w:r>
        <w:rPr>
          <w:rFonts w:ascii="맑은 고딕" w:hAnsi="맑은 고딕" w:eastAsia="맑은 고딕"/>
          <w:b w:val="0"/>
          <w:i w:val="0"/>
          <w:sz w:val="20"/>
        </w:rPr>
        <w:t>권역별(표 7)로 보면 아파트는 수도권(PRB −0.020)과 지방(−0.026)이 유사하나, 연립다세대는 수도권(−0.076)이 지방(−0.064)보다 더 역진적이다. 시도별 아파트 PRB는 서울이 −0.002로 거의 형평에 가까운 반면 제주(−0.056)·경남(−0.039)·울산·인천(−0.034) 등지에서 역진성이 상대적으로 크다. 전반적으로 대도시 아파트일수록 형평에 가깝고, 그 외 지역과 연립다세대에서 역진성이 두드러진다.</w:t>
      </w:r>
    </w:p>
    <w:p>
      <w:pPr>
        <w:spacing w:after="60" w:line="312" w:lineRule="auto"/>
      </w:pPr>
      <w:r>
        <w:rPr>
          <w:rFonts w:ascii="맑은 고딕" w:hAnsi="맑은 고딕" w:eastAsia="맑은 고딕"/>
          <w:b/>
          <w:i w:val="0"/>
          <w:sz w:val="20"/>
        </w:rPr>
        <w:t>표 7. 권역·시도별 수직형평성 (아파트 기준 시도별)</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608"/>
            <w:shd w:val="clear" w:color="auto" w:fill="D9E2F3"/>
          </w:tcPr>
          <w:p>
            <w:pPr>
              <w:jc w:val="center"/>
            </w:pPr>
            <w:r/>
            <w:r>
              <w:rPr>
                <w:rFonts w:ascii="맑은 고딕" w:hAnsi="맑은 고딕" w:eastAsia="맑은 고딕"/>
                <w:b/>
                <w:sz w:val="18"/>
              </w:rPr>
              <w:t>구분</w:t>
            </w:r>
          </w:p>
        </w:tc>
        <w:tc>
          <w:tcPr>
            <w:tcW w:type="dxa" w:w="1701"/>
            <w:shd w:val="clear" w:color="auto" w:fill="D9E2F3"/>
          </w:tcPr>
          <w:p>
            <w:pPr>
              <w:jc w:val="center"/>
            </w:pPr>
            <w:r/>
            <w:r>
              <w:rPr>
                <w:rFonts w:ascii="맑은 고딕" w:hAnsi="맑은 고딕" w:eastAsia="맑은 고딕"/>
                <w:b/>
                <w:sz w:val="18"/>
              </w:rPr>
              <w:t>중앙 현실화율</w:t>
            </w:r>
          </w:p>
        </w:tc>
        <w:tc>
          <w:tcPr>
            <w:tcW w:type="dxa" w:w="1474"/>
            <w:shd w:val="clear" w:color="auto" w:fill="D9E2F3"/>
          </w:tcPr>
          <w:p>
            <w:pPr>
              <w:jc w:val="center"/>
            </w:pPr>
            <w:r/>
            <w:r>
              <w:rPr>
                <w:rFonts w:ascii="맑은 고딕" w:hAnsi="맑은 고딕" w:eastAsia="맑은 고딕"/>
                <w:b/>
                <w:sz w:val="18"/>
              </w:rPr>
              <w:t>PRB</w:t>
            </w:r>
          </w:p>
        </w:tc>
        <w:tc>
          <w:tcPr>
            <w:tcW w:type="dxa" w:w="2041"/>
            <w:shd w:val="clear" w:color="auto" w:fill="D9E2F3"/>
          </w:tcPr>
          <w:p>
            <w:pPr>
              <w:jc w:val="center"/>
            </w:pPr>
            <w:r/>
            <w:r>
              <w:rPr>
                <w:rFonts w:ascii="맑은 고딕" w:hAnsi="맑은 고딕" w:eastAsia="맑은 고딕"/>
                <w:b/>
                <w:sz w:val="18"/>
              </w:rPr>
              <w:t>N</w:t>
            </w:r>
          </w:p>
        </w:tc>
      </w:tr>
      <w:tr>
        <w:tc>
          <w:tcPr>
            <w:tcW w:type="dxa" w:w="2608"/>
          </w:tcPr>
          <w:p>
            <w:pPr>
              <w:jc w:val="left"/>
            </w:pPr>
            <w:r/>
            <w:r>
              <w:rPr>
                <w:rFonts w:ascii="맑은 고딕" w:hAnsi="맑은 고딕" w:eastAsia="맑은 고딕"/>
                <w:sz w:val="18"/>
              </w:rPr>
              <w:t>아파트·수도권</w:t>
            </w:r>
          </w:p>
        </w:tc>
        <w:tc>
          <w:tcPr>
            <w:tcW w:type="dxa" w:w="1701"/>
          </w:tcPr>
          <w:p>
            <w:pPr>
              <w:jc w:val="center"/>
            </w:pPr>
            <w:r/>
            <w:r>
              <w:rPr>
                <w:rFonts w:ascii="맑은 고딕" w:hAnsi="맑은 고딕" w:eastAsia="맑은 고딕"/>
                <w:sz w:val="18"/>
              </w:rPr>
              <w:t>0.615</w:t>
            </w:r>
          </w:p>
        </w:tc>
        <w:tc>
          <w:tcPr>
            <w:tcW w:type="dxa" w:w="1474"/>
          </w:tcPr>
          <w:p>
            <w:pPr>
              <w:jc w:val="center"/>
            </w:pPr>
            <w:r/>
            <w:r>
              <w:rPr>
                <w:rFonts w:ascii="맑은 고딕" w:hAnsi="맑은 고딕" w:eastAsia="맑은 고딕"/>
                <w:sz w:val="18"/>
              </w:rPr>
              <w:t>−0.020</w:t>
            </w:r>
          </w:p>
        </w:tc>
        <w:tc>
          <w:tcPr>
            <w:tcW w:type="dxa" w:w="2041"/>
          </w:tcPr>
          <w:p>
            <w:pPr>
              <w:jc w:val="center"/>
            </w:pPr>
            <w:r/>
            <w:r>
              <w:rPr>
                <w:rFonts w:ascii="맑은 고딕" w:hAnsi="맑은 고딕" w:eastAsia="맑은 고딕"/>
                <w:sz w:val="18"/>
              </w:rPr>
              <w:t>1,554,136</w:t>
            </w:r>
          </w:p>
        </w:tc>
      </w:tr>
      <w:tr>
        <w:tc>
          <w:tcPr>
            <w:tcW w:type="dxa" w:w="2608"/>
          </w:tcPr>
          <w:p>
            <w:pPr>
              <w:jc w:val="left"/>
            </w:pPr>
            <w:r/>
            <w:r>
              <w:rPr>
                <w:rFonts w:ascii="맑은 고딕" w:hAnsi="맑은 고딕" w:eastAsia="맑은 고딕"/>
                <w:sz w:val="18"/>
              </w:rPr>
              <w:t>아파트·지방</w:t>
            </w:r>
          </w:p>
        </w:tc>
        <w:tc>
          <w:tcPr>
            <w:tcW w:type="dxa" w:w="1701"/>
          </w:tcPr>
          <w:p>
            <w:pPr>
              <w:jc w:val="center"/>
            </w:pPr>
            <w:r/>
            <w:r>
              <w:rPr>
                <w:rFonts w:ascii="맑은 고딕" w:hAnsi="맑은 고딕" w:eastAsia="맑은 고딕"/>
                <w:sz w:val="18"/>
              </w:rPr>
              <w:t>0.635</w:t>
            </w:r>
          </w:p>
        </w:tc>
        <w:tc>
          <w:tcPr>
            <w:tcW w:type="dxa" w:w="1474"/>
          </w:tcPr>
          <w:p>
            <w:pPr>
              <w:jc w:val="center"/>
            </w:pPr>
            <w:r/>
            <w:r>
              <w:rPr>
                <w:rFonts w:ascii="맑은 고딕" w:hAnsi="맑은 고딕" w:eastAsia="맑은 고딕"/>
                <w:sz w:val="18"/>
              </w:rPr>
              <w:t>−0.026</w:t>
            </w:r>
          </w:p>
        </w:tc>
        <w:tc>
          <w:tcPr>
            <w:tcW w:type="dxa" w:w="2041"/>
          </w:tcPr>
          <w:p>
            <w:pPr>
              <w:jc w:val="center"/>
            </w:pPr>
            <w:r/>
            <w:r>
              <w:rPr>
                <w:rFonts w:ascii="맑은 고딕" w:hAnsi="맑은 고딕" w:eastAsia="맑은 고딕"/>
                <w:sz w:val="18"/>
              </w:rPr>
              <w:t>1,602,427</w:t>
            </w:r>
          </w:p>
        </w:tc>
      </w:tr>
      <w:tr>
        <w:tc>
          <w:tcPr>
            <w:tcW w:type="dxa" w:w="2608"/>
          </w:tcPr>
          <w:p>
            <w:pPr>
              <w:jc w:val="left"/>
            </w:pPr>
            <w:r/>
            <w:r>
              <w:rPr>
                <w:rFonts w:ascii="맑은 고딕" w:hAnsi="맑은 고딕" w:eastAsia="맑은 고딕"/>
                <w:sz w:val="18"/>
              </w:rPr>
              <w:t>연립·수도권</w:t>
            </w:r>
          </w:p>
        </w:tc>
        <w:tc>
          <w:tcPr>
            <w:tcW w:type="dxa" w:w="1701"/>
          </w:tcPr>
          <w:p>
            <w:pPr>
              <w:jc w:val="center"/>
            </w:pPr>
            <w:r/>
            <w:r>
              <w:rPr>
                <w:rFonts w:ascii="맑은 고딕" w:hAnsi="맑은 고딕" w:eastAsia="맑은 고딕"/>
                <w:sz w:val="18"/>
              </w:rPr>
              <w:t>0.609</w:t>
            </w:r>
          </w:p>
        </w:tc>
        <w:tc>
          <w:tcPr>
            <w:tcW w:type="dxa" w:w="1474"/>
          </w:tcPr>
          <w:p>
            <w:pPr>
              <w:jc w:val="center"/>
            </w:pPr>
            <w:r/>
            <w:r>
              <w:rPr>
                <w:rFonts w:ascii="맑은 고딕" w:hAnsi="맑은 고딕" w:eastAsia="맑은 고딕"/>
                <w:sz w:val="18"/>
              </w:rPr>
              <w:t>−0.076</w:t>
            </w:r>
          </w:p>
        </w:tc>
        <w:tc>
          <w:tcPr>
            <w:tcW w:type="dxa" w:w="2041"/>
          </w:tcPr>
          <w:p>
            <w:pPr>
              <w:jc w:val="center"/>
            </w:pPr>
            <w:r/>
            <w:r>
              <w:rPr>
                <w:rFonts w:ascii="맑은 고딕" w:hAnsi="맑은 고딕" w:eastAsia="맑은 고딕"/>
                <w:sz w:val="18"/>
              </w:rPr>
              <w:t>615,369</w:t>
            </w:r>
          </w:p>
        </w:tc>
      </w:tr>
      <w:tr>
        <w:tc>
          <w:tcPr>
            <w:tcW w:type="dxa" w:w="2608"/>
          </w:tcPr>
          <w:p>
            <w:pPr>
              <w:jc w:val="left"/>
            </w:pPr>
            <w:r/>
            <w:r>
              <w:rPr>
                <w:rFonts w:ascii="맑은 고딕" w:hAnsi="맑은 고딕" w:eastAsia="맑은 고딕"/>
                <w:sz w:val="18"/>
              </w:rPr>
              <w:t>연립·지방</w:t>
            </w:r>
          </w:p>
        </w:tc>
        <w:tc>
          <w:tcPr>
            <w:tcW w:type="dxa" w:w="1701"/>
          </w:tcPr>
          <w:p>
            <w:pPr>
              <w:jc w:val="center"/>
            </w:pPr>
            <w:r/>
            <w:r>
              <w:rPr>
                <w:rFonts w:ascii="맑은 고딕" w:hAnsi="맑은 고딕" w:eastAsia="맑은 고딕"/>
                <w:sz w:val="18"/>
              </w:rPr>
              <w:t>0.624</w:t>
            </w:r>
          </w:p>
        </w:tc>
        <w:tc>
          <w:tcPr>
            <w:tcW w:type="dxa" w:w="1474"/>
          </w:tcPr>
          <w:p>
            <w:pPr>
              <w:jc w:val="center"/>
            </w:pPr>
            <w:r/>
            <w:r>
              <w:rPr>
                <w:rFonts w:ascii="맑은 고딕" w:hAnsi="맑은 고딕" w:eastAsia="맑은 고딕"/>
                <w:sz w:val="18"/>
              </w:rPr>
              <w:t>−0.064</w:t>
            </w:r>
          </w:p>
        </w:tc>
        <w:tc>
          <w:tcPr>
            <w:tcW w:type="dxa" w:w="2041"/>
          </w:tcPr>
          <w:p>
            <w:pPr>
              <w:jc w:val="center"/>
            </w:pPr>
            <w:r/>
            <w:r>
              <w:rPr>
                <w:rFonts w:ascii="맑은 고딕" w:hAnsi="맑은 고딕" w:eastAsia="맑은 고딕"/>
                <w:sz w:val="18"/>
              </w:rPr>
              <w:t>180,819</w:t>
            </w:r>
          </w:p>
        </w:tc>
      </w:tr>
      <w:tr>
        <w:tc>
          <w:tcPr>
            <w:tcW w:type="dxa" w:w="2608"/>
          </w:tcPr>
          <w:p>
            <w:pPr>
              <w:jc w:val="left"/>
            </w:pPr>
            <w:r/>
            <w:r>
              <w:rPr>
                <w:rFonts w:ascii="맑은 고딕" w:hAnsi="맑은 고딕" w:eastAsia="맑은 고딕"/>
                <w:sz w:val="18"/>
              </w:rPr>
              <w:t>[시도] 서울(아파트)</w:t>
            </w:r>
          </w:p>
        </w:tc>
        <w:tc>
          <w:tcPr>
            <w:tcW w:type="dxa" w:w="1701"/>
          </w:tcPr>
          <w:p>
            <w:pPr>
              <w:jc w:val="center"/>
            </w:pPr>
            <w:r/>
            <w:r>
              <w:rPr>
                <w:rFonts w:ascii="맑은 고딕" w:hAnsi="맑은 고딕" w:eastAsia="맑은 고딕"/>
                <w:sz w:val="18"/>
              </w:rPr>
              <w:t>0.603</w:t>
            </w:r>
          </w:p>
        </w:tc>
        <w:tc>
          <w:tcPr>
            <w:tcW w:type="dxa" w:w="1474"/>
          </w:tcPr>
          <w:p>
            <w:pPr>
              <w:jc w:val="center"/>
            </w:pPr>
            <w:r/>
            <w:r>
              <w:rPr>
                <w:rFonts w:ascii="맑은 고딕" w:hAnsi="맑은 고딕" w:eastAsia="맑은 고딕"/>
                <w:sz w:val="18"/>
              </w:rPr>
              <w:t>−0.002</w:t>
            </w:r>
          </w:p>
        </w:tc>
        <w:tc>
          <w:tcPr>
            <w:tcW w:type="dxa" w:w="2041"/>
          </w:tcPr>
          <w:p>
            <w:pPr>
              <w:jc w:val="center"/>
            </w:pPr>
            <w:r/>
            <w:r>
              <w:rPr>
                <w:rFonts w:ascii="맑은 고딕" w:hAnsi="맑은 고딕" w:eastAsia="맑은 고딕"/>
                <w:sz w:val="18"/>
              </w:rPr>
              <w:t>433,328</w:t>
            </w:r>
          </w:p>
        </w:tc>
      </w:tr>
      <w:tr>
        <w:tc>
          <w:tcPr>
            <w:tcW w:type="dxa" w:w="2608"/>
          </w:tcPr>
          <w:p>
            <w:pPr>
              <w:jc w:val="left"/>
            </w:pPr>
            <w:r/>
            <w:r>
              <w:rPr>
                <w:rFonts w:ascii="맑은 고딕" w:hAnsi="맑은 고딕" w:eastAsia="맑은 고딕"/>
                <w:sz w:val="18"/>
              </w:rPr>
              <w:t>[시도] 인천(아파트)</w:t>
            </w:r>
          </w:p>
        </w:tc>
        <w:tc>
          <w:tcPr>
            <w:tcW w:type="dxa" w:w="1701"/>
          </w:tcPr>
          <w:p>
            <w:pPr>
              <w:jc w:val="center"/>
            </w:pPr>
            <w:r/>
            <w:r>
              <w:rPr>
                <w:rFonts w:ascii="맑은 고딕" w:hAnsi="맑은 고딕" w:eastAsia="맑은 고딕"/>
                <w:sz w:val="18"/>
              </w:rPr>
              <w:t>0.631</w:t>
            </w:r>
          </w:p>
        </w:tc>
        <w:tc>
          <w:tcPr>
            <w:tcW w:type="dxa" w:w="1474"/>
          </w:tcPr>
          <w:p>
            <w:pPr>
              <w:jc w:val="center"/>
            </w:pPr>
            <w:r/>
            <w:r>
              <w:rPr>
                <w:rFonts w:ascii="맑은 고딕" w:hAnsi="맑은 고딕" w:eastAsia="맑은 고딕"/>
                <w:sz w:val="18"/>
              </w:rPr>
              <w:t>−0.034</w:t>
            </w:r>
          </w:p>
        </w:tc>
        <w:tc>
          <w:tcPr>
            <w:tcW w:type="dxa" w:w="2041"/>
          </w:tcPr>
          <w:p>
            <w:pPr>
              <w:jc w:val="center"/>
            </w:pPr>
            <w:r/>
            <w:r>
              <w:rPr>
                <w:rFonts w:ascii="맑은 고딕" w:hAnsi="맑은 고딕" w:eastAsia="맑은 고딕"/>
                <w:sz w:val="18"/>
              </w:rPr>
              <w:t>177,111</w:t>
            </w:r>
          </w:p>
        </w:tc>
      </w:tr>
      <w:tr>
        <w:tc>
          <w:tcPr>
            <w:tcW w:type="dxa" w:w="2608"/>
          </w:tcPr>
          <w:p>
            <w:pPr>
              <w:jc w:val="left"/>
            </w:pPr>
            <w:r/>
            <w:r>
              <w:rPr>
                <w:rFonts w:ascii="맑은 고딕" w:hAnsi="맑은 고딕" w:eastAsia="맑은 고딕"/>
                <w:sz w:val="18"/>
              </w:rPr>
              <w:t>[시도] 경기(아파트)</w:t>
            </w:r>
          </w:p>
        </w:tc>
        <w:tc>
          <w:tcPr>
            <w:tcW w:type="dxa" w:w="1701"/>
          </w:tcPr>
          <w:p>
            <w:pPr>
              <w:jc w:val="center"/>
            </w:pPr>
            <w:r/>
            <w:r>
              <w:rPr>
                <w:rFonts w:ascii="맑은 고딕" w:hAnsi="맑은 고딕" w:eastAsia="맑은 고딕"/>
                <w:sz w:val="18"/>
              </w:rPr>
              <w:t>0.618</w:t>
            </w:r>
          </w:p>
        </w:tc>
        <w:tc>
          <w:tcPr>
            <w:tcW w:type="dxa" w:w="1474"/>
          </w:tcPr>
          <w:p>
            <w:pPr>
              <w:jc w:val="center"/>
            </w:pPr>
            <w:r/>
            <w:r>
              <w:rPr>
                <w:rFonts w:ascii="맑은 고딕" w:hAnsi="맑은 고딕" w:eastAsia="맑은 고딕"/>
                <w:sz w:val="18"/>
              </w:rPr>
              <w:t>−0.024</w:t>
            </w:r>
          </w:p>
        </w:tc>
        <w:tc>
          <w:tcPr>
            <w:tcW w:type="dxa" w:w="2041"/>
          </w:tcPr>
          <w:p>
            <w:pPr>
              <w:jc w:val="center"/>
            </w:pPr>
            <w:r/>
            <w:r>
              <w:rPr>
                <w:rFonts w:ascii="맑은 고딕" w:hAnsi="맑은 고딕" w:eastAsia="맑은 고딕"/>
                <w:sz w:val="18"/>
              </w:rPr>
              <w:t>943,697</w:t>
            </w:r>
          </w:p>
        </w:tc>
      </w:tr>
      <w:tr>
        <w:tc>
          <w:tcPr>
            <w:tcW w:type="dxa" w:w="2608"/>
          </w:tcPr>
          <w:p>
            <w:pPr>
              <w:jc w:val="left"/>
            </w:pPr>
            <w:r/>
            <w:r>
              <w:rPr>
                <w:rFonts w:ascii="맑은 고딕" w:hAnsi="맑은 고딕" w:eastAsia="맑은 고딕"/>
                <w:sz w:val="18"/>
              </w:rPr>
              <w:t>[시도] 울산(아파트)</w:t>
            </w:r>
          </w:p>
        </w:tc>
        <w:tc>
          <w:tcPr>
            <w:tcW w:type="dxa" w:w="1701"/>
          </w:tcPr>
          <w:p>
            <w:pPr>
              <w:jc w:val="center"/>
            </w:pPr>
            <w:r/>
            <w:r>
              <w:rPr>
                <w:rFonts w:ascii="맑은 고딕" w:hAnsi="맑은 고딕" w:eastAsia="맑은 고딕"/>
                <w:sz w:val="18"/>
              </w:rPr>
              <w:t>0.626</w:t>
            </w:r>
          </w:p>
        </w:tc>
        <w:tc>
          <w:tcPr>
            <w:tcW w:type="dxa" w:w="1474"/>
          </w:tcPr>
          <w:p>
            <w:pPr>
              <w:jc w:val="center"/>
            </w:pPr>
            <w:r/>
            <w:r>
              <w:rPr>
                <w:rFonts w:ascii="맑은 고딕" w:hAnsi="맑은 고딕" w:eastAsia="맑은 고딕"/>
                <w:sz w:val="18"/>
              </w:rPr>
              <w:t>−0.034</w:t>
            </w:r>
          </w:p>
        </w:tc>
        <w:tc>
          <w:tcPr>
            <w:tcW w:type="dxa" w:w="2041"/>
          </w:tcPr>
          <w:p>
            <w:pPr>
              <w:jc w:val="center"/>
            </w:pPr>
            <w:r/>
            <w:r>
              <w:rPr>
                <w:rFonts w:ascii="맑은 고딕" w:hAnsi="맑은 고딕" w:eastAsia="맑은 고딕"/>
                <w:sz w:val="18"/>
              </w:rPr>
              <w:t>107,491</w:t>
            </w:r>
          </w:p>
        </w:tc>
      </w:tr>
      <w:tr>
        <w:tc>
          <w:tcPr>
            <w:tcW w:type="dxa" w:w="2608"/>
          </w:tcPr>
          <w:p>
            <w:pPr>
              <w:jc w:val="left"/>
            </w:pPr>
            <w:r/>
            <w:r>
              <w:rPr>
                <w:rFonts w:ascii="맑은 고딕" w:hAnsi="맑은 고딕" w:eastAsia="맑은 고딕"/>
                <w:sz w:val="18"/>
              </w:rPr>
              <w:t>[시도] 경남(아파트)</w:t>
            </w:r>
          </w:p>
        </w:tc>
        <w:tc>
          <w:tcPr>
            <w:tcW w:type="dxa" w:w="1701"/>
          </w:tcPr>
          <w:p>
            <w:pPr>
              <w:jc w:val="center"/>
            </w:pPr>
            <w:r/>
            <w:r>
              <w:rPr>
                <w:rFonts w:ascii="맑은 고딕" w:hAnsi="맑은 고딕" w:eastAsia="맑은 고딕"/>
                <w:sz w:val="18"/>
              </w:rPr>
              <w:t>0.632</w:t>
            </w:r>
          </w:p>
        </w:tc>
        <w:tc>
          <w:tcPr>
            <w:tcW w:type="dxa" w:w="1474"/>
          </w:tcPr>
          <w:p>
            <w:pPr>
              <w:jc w:val="center"/>
            </w:pPr>
            <w:r/>
            <w:r>
              <w:rPr>
                <w:rFonts w:ascii="맑은 고딕" w:hAnsi="맑은 고딕" w:eastAsia="맑은 고딕"/>
                <w:sz w:val="18"/>
              </w:rPr>
              <w:t>−0.039</w:t>
            </w:r>
          </w:p>
        </w:tc>
        <w:tc>
          <w:tcPr>
            <w:tcW w:type="dxa" w:w="2041"/>
          </w:tcPr>
          <w:p>
            <w:pPr>
              <w:jc w:val="center"/>
            </w:pPr>
            <w:r/>
            <w:r>
              <w:rPr>
                <w:rFonts w:ascii="맑은 고딕" w:hAnsi="맑은 고딕" w:eastAsia="맑은 고딕"/>
                <w:sz w:val="18"/>
              </w:rPr>
              <w:t>292,757</w:t>
            </w:r>
          </w:p>
        </w:tc>
      </w:tr>
      <w:tr>
        <w:tc>
          <w:tcPr>
            <w:tcW w:type="dxa" w:w="2608"/>
          </w:tcPr>
          <w:p>
            <w:pPr>
              <w:jc w:val="left"/>
            </w:pPr>
            <w:r/>
            <w:r>
              <w:rPr>
                <w:rFonts w:ascii="맑은 고딕" w:hAnsi="맑은 고딕" w:eastAsia="맑은 고딕"/>
                <w:sz w:val="18"/>
              </w:rPr>
              <w:t>[시도] 제주(아파트)</w:t>
            </w:r>
          </w:p>
        </w:tc>
        <w:tc>
          <w:tcPr>
            <w:tcW w:type="dxa" w:w="1701"/>
          </w:tcPr>
          <w:p>
            <w:pPr>
              <w:jc w:val="center"/>
            </w:pPr>
            <w:r/>
            <w:r>
              <w:rPr>
                <w:rFonts w:ascii="맑은 고딕" w:hAnsi="맑은 고딕" w:eastAsia="맑은 고딕"/>
                <w:sz w:val="18"/>
              </w:rPr>
              <w:t>0.634</w:t>
            </w:r>
          </w:p>
        </w:tc>
        <w:tc>
          <w:tcPr>
            <w:tcW w:type="dxa" w:w="1474"/>
          </w:tcPr>
          <w:p>
            <w:pPr>
              <w:jc w:val="center"/>
            </w:pPr>
            <w:r/>
            <w:r>
              <w:rPr>
                <w:rFonts w:ascii="맑은 고딕" w:hAnsi="맑은 고딕" w:eastAsia="맑은 고딕"/>
                <w:sz w:val="18"/>
              </w:rPr>
              <w:t>−0.056</w:t>
            </w:r>
          </w:p>
        </w:tc>
        <w:tc>
          <w:tcPr>
            <w:tcW w:type="dxa" w:w="2041"/>
          </w:tcPr>
          <w:p>
            <w:pPr>
              <w:jc w:val="center"/>
            </w:pPr>
            <w:r/>
            <w:r>
              <w:rPr>
                <w:rFonts w:ascii="맑은 고딕" w:hAnsi="맑은 고딕" w:eastAsia="맑은 고딕"/>
                <w:sz w:val="18"/>
              </w:rPr>
              <w:t>20,624</w:t>
            </w:r>
          </w:p>
        </w:tc>
      </w:tr>
    </w:tbl>
    <w:p>
      <w:pPr>
        <w:spacing w:after="200" w:line="312" w:lineRule="auto"/>
      </w:pPr>
      <w:r>
        <w:rPr>
          <w:rFonts w:ascii="맑은 고딕" w:hAnsi="맑은 고딕" w:eastAsia="맑은 고딕"/>
          <w:b w:val="0"/>
          <w:i/>
          <w:color w:val="444444"/>
          <w:sz w:val="16"/>
        </w:rPr>
        <w:t>주: 수도권 = 서울·경기·인천. PRB 음수일수록 역진.</w:t>
      </w:r>
    </w:p>
    <w:p>
      <w:pPr>
        <w:pStyle w:val="Heading1"/>
      </w:pPr>
      <w:r>
        <w:rPr>
          <w:rFonts w:ascii="맑은 고딕" w:hAnsi="맑은 고딕" w:eastAsia="맑은 고딕"/>
          <w:b/>
        </w:rPr>
        <w:t>4. 요약 및 함의</w:t>
      </w:r>
    </w:p>
    <w:p>
      <w:pPr>
        <w:spacing w:after="120" w:line="312" w:lineRule="auto"/>
      </w:pPr>
      <w:r>
        <w:rPr>
          <w:rFonts w:ascii="맑은 고딕" w:hAnsi="맑은 고딕" w:eastAsia="맑은 고딕"/>
          <w:b w:val="0"/>
          <w:i w:val="0"/>
          <w:sz w:val="20"/>
        </w:rPr>
        <w:t>전국 분석에서 공동주택 공시가격의 현실화율은 아파트 62.4%, 연립다세대 61.2%로 약 6할 수준이며, 2019–2026년에 걸쳐 대체로 하락하였다. 수직형평성에서는 두 유형 모두 역진성을 보이되 연립다세대가 아파트보다 뚜렷하게 더 역진적이며(PRB −0.067 대 −0.025, 회귀계수 −0.207 대 −0.063, 상호작용 유의), 연립다세대의 역진성은 최근으로 올수록 악화되고 있다. 강남3구에서 형평에 가깝던 아파트도 전국적으로는 약한 역진성을 보여, 공시가격의 수직 불형평이 특정 지역·유형에 국한되지 않는 광범위한 현상임을 시사한다. 특히 저가·비수도권·연립다세대에서 상대적 과대평가(고가의 상대적 과소평가)가 두드러져, 공시가격 산정의 균일성 제고와 유형·지역·가격대 전반의 형평성 점검이 정책적으로 요구된다.</w:t>
      </w:r>
    </w:p>
    <w:p>
      <w:pPr>
        <w:spacing w:after="200" w:line="312" w:lineRule="auto"/>
      </w:pPr>
      <w:r>
        <w:rPr>
          <w:rFonts w:ascii="맑은 고딕" w:hAnsi="맑은 고딕" w:eastAsia="맑은 고딕"/>
          <w:b w:val="0"/>
          <w:i/>
          <w:color w:val="444444"/>
          <w:sz w:val="16"/>
        </w:rPr>
        <w:t>자료: 국토교통부 실거래가 공개시스템, 국토교통부 공간정보(VWorld) 공동주택 공시가격. 분석기간 2019–2026, 전국. · 연구: 박대근(차의과학대)</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